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0BE7" w14:textId="77777777" w:rsidR="00C36B69" w:rsidRDefault="00C36B69" w:rsidP="00C731F4">
      <w:pPr>
        <w:pStyle w:val="NoSpacing"/>
        <w:ind w:left="-740" w:right="-7"/>
      </w:pPr>
      <w:r w:rsidRPr="00C36B69">
        <w:rPr>
          <w:noProof/>
        </w:rPr>
        <w:drawing>
          <wp:inline distT="0" distB="0" distL="0" distR="0" wp14:anchorId="2107C9DD" wp14:editId="42D7D590">
            <wp:extent cx="7844040" cy="4266678"/>
            <wp:effectExtent l="0" t="0" r="5080" b="635"/>
            <wp:docPr id="33" name="Picture 33" descr="A picture containing bird,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sset 2@3x.png"/>
                    <pic:cNvPicPr/>
                  </pic:nvPicPr>
                  <pic:blipFill rotWithShape="1">
                    <a:blip r:embed="rId11">
                      <a:extLst>
                        <a:ext uri="{28A0092B-C50C-407E-A947-70E740481C1C}">
                          <a14:useLocalDpi xmlns:a14="http://schemas.microsoft.com/office/drawing/2010/main" val="0"/>
                        </a:ext>
                      </a:extLst>
                    </a:blip>
                    <a:srcRect b="11169"/>
                    <a:stretch/>
                  </pic:blipFill>
                  <pic:spPr bwMode="auto">
                    <a:xfrm>
                      <a:off x="0" y="0"/>
                      <a:ext cx="7868948" cy="4280226"/>
                    </a:xfrm>
                    <a:prstGeom prst="rect">
                      <a:avLst/>
                    </a:prstGeom>
                    <a:ln>
                      <a:noFill/>
                    </a:ln>
                    <a:extLst>
                      <a:ext uri="{53640926-AAD7-44D8-BBD7-CCE9431645EC}">
                        <a14:shadowObscured xmlns:a14="http://schemas.microsoft.com/office/drawing/2010/main"/>
                      </a:ext>
                    </a:extLst>
                  </pic:spPr>
                </pic:pic>
              </a:graphicData>
            </a:graphic>
          </wp:inline>
        </w:drawing>
      </w:r>
    </w:p>
    <w:p w14:paraId="2EC97B67" w14:textId="77777777" w:rsidR="00366EDD" w:rsidRDefault="00366EDD" w:rsidP="00366EDD">
      <w:pPr>
        <w:pStyle w:val="SectionHeader"/>
        <w:ind w:right="3566"/>
      </w:pPr>
      <w:r>
        <w:t>White Paper</w:t>
      </w:r>
    </w:p>
    <w:p w14:paraId="028FFA22" w14:textId="7A2CF3CF" w:rsidR="00366EDD" w:rsidRDefault="00194A0D" w:rsidP="009A6969">
      <w:pPr>
        <w:pStyle w:val="MainHeadline"/>
      </w:pPr>
      <w:r>
        <w:t xml:space="preserve">Cell Collection Basics </w:t>
      </w:r>
      <w:r w:rsidR="004C44EA">
        <w:t>—</w:t>
      </w:r>
      <w:r>
        <w:t xml:space="preserve"> Introduction and Fundamentals for the Transplant and Cell and Gene Therapy Industries</w:t>
      </w:r>
    </w:p>
    <w:p w14:paraId="687BAA6A" w14:textId="2C97CB8C" w:rsidR="00366EDD" w:rsidRDefault="00194A0D" w:rsidP="00366EDD">
      <w:pPr>
        <w:ind w:right="3566"/>
      </w:pPr>
      <w:r>
        <w:t xml:space="preserve">Terumo Blood and Cell Technologies </w:t>
      </w:r>
    </w:p>
    <w:p w14:paraId="6B4589F6" w14:textId="77777777" w:rsidR="00366EDD" w:rsidRDefault="00366EDD" w:rsidP="00366EDD">
      <w:pPr>
        <w:ind w:right="3566"/>
        <w:sectPr w:rsidR="00366EDD" w:rsidSect="00BE59ED">
          <w:endnotePr>
            <w:numFmt w:val="decimal"/>
          </w:endnotePr>
          <w:pgSz w:w="11906" w:h="16838"/>
          <w:pgMar w:top="720" w:right="720" w:bottom="288" w:left="720" w:header="0" w:footer="173" w:gutter="0"/>
          <w:cols w:space="284"/>
          <w:titlePg/>
          <w:docGrid w:linePitch="360"/>
        </w:sectPr>
      </w:pPr>
      <w:r>
        <w:rPr>
          <w:noProof/>
        </w:rPr>
        <mc:AlternateContent>
          <mc:Choice Requires="wps">
            <w:drawing>
              <wp:anchor distT="0" distB="0" distL="114300" distR="114300" simplePos="0" relativeHeight="251664384" behindDoc="0" locked="0" layoutInCell="1" allowOverlap="1" wp14:anchorId="6D28CA94" wp14:editId="50F084BA">
                <wp:simplePos x="0" y="0"/>
                <wp:positionH relativeFrom="column">
                  <wp:posOffset>-460375</wp:posOffset>
                </wp:positionH>
                <wp:positionV relativeFrom="paragraph">
                  <wp:posOffset>522374</wp:posOffset>
                </wp:positionV>
                <wp:extent cx="7830185" cy="2003425"/>
                <wp:effectExtent l="0" t="0" r="5715" b="3175"/>
                <wp:wrapNone/>
                <wp:docPr id="1" name="Text Box 1"/>
                <wp:cNvGraphicFramePr/>
                <a:graphic xmlns:a="http://schemas.openxmlformats.org/drawingml/2006/main">
                  <a:graphicData uri="http://schemas.microsoft.com/office/word/2010/wordprocessingShape">
                    <wps:wsp>
                      <wps:cNvSpPr txBox="1"/>
                      <wps:spPr>
                        <a:xfrm>
                          <a:off x="0" y="0"/>
                          <a:ext cx="7830185" cy="2003425"/>
                        </a:xfrm>
                        <a:prstGeom prst="rect">
                          <a:avLst/>
                        </a:prstGeom>
                        <a:solidFill>
                          <a:schemeClr val="accent2"/>
                        </a:solidFill>
                        <a:ln w="6350">
                          <a:noFill/>
                        </a:ln>
                      </wps:spPr>
                      <wps:txbx>
                        <w:txbxContent>
                          <w:p w14:paraId="27EF869F" w14:textId="77777777" w:rsidR="00366EDD" w:rsidRPr="003C2194" w:rsidRDefault="00366EDD" w:rsidP="00366EDD">
                            <w:pPr>
                              <w:ind w:left="709" w:right="831"/>
                              <w:rPr>
                                <w:b/>
                                <w:bCs/>
                                <w:color w:val="FFFFFF" w:themeColor="background1"/>
                              </w:rPr>
                            </w:pPr>
                            <w:r w:rsidRPr="003C2194">
                              <w:rPr>
                                <w:b/>
                                <w:bCs/>
                                <w:color w:val="FFFFFF" w:themeColor="background1"/>
                              </w:rPr>
                              <w:t>Summary</w:t>
                            </w:r>
                          </w:p>
                          <w:p w14:paraId="2B0C389C" w14:textId="75185632" w:rsidR="00366EDD" w:rsidRPr="003C2194" w:rsidRDefault="00194A0D" w:rsidP="00366EDD">
                            <w:pPr>
                              <w:ind w:left="709" w:right="831"/>
                              <w:rPr>
                                <w:color w:val="FFFFFF" w:themeColor="background1"/>
                              </w:rPr>
                            </w:pPr>
                            <w:r>
                              <w:rPr>
                                <w:color w:val="FFFFFF" w:themeColor="background1"/>
                              </w:rPr>
                              <w:t xml:space="preserve">Learn about the basics of cell collection starting with the role the peripheral blood stem cells (PBSCs) and lymphocytes play in medical treatments like CAR T-cell therapies and hematopoietic stem cell transplantation (HSCT). Gain insight into common terminology, the importance of starting with high-quality materials, </w:t>
                            </w:r>
                            <w:r w:rsidR="00301D03">
                              <w:rPr>
                                <w:color w:val="FFFFFF" w:themeColor="background1"/>
                              </w:rPr>
                              <w:t xml:space="preserve">a basic overview of requirements, </w:t>
                            </w:r>
                            <w:r>
                              <w:rPr>
                                <w:color w:val="FFFFFF" w:themeColor="background1"/>
                              </w:rPr>
                              <w:t>and</w:t>
                            </w:r>
                            <w:r w:rsidR="00301D03">
                              <w:rPr>
                                <w:color w:val="FFFFFF" w:themeColor="background1"/>
                              </w:rPr>
                              <w:t xml:space="preserve"> tools such as</w:t>
                            </w:r>
                            <w:r>
                              <w:rPr>
                                <w:color w:val="FFFFFF" w:themeColor="background1"/>
                              </w:rPr>
                              <w:t xml:space="preserve"> data analysis </w:t>
                            </w:r>
                            <w:r w:rsidR="00301D03">
                              <w:rPr>
                                <w:color w:val="FFFFFF" w:themeColor="background1"/>
                              </w:rPr>
                              <w:t>that help</w:t>
                            </w:r>
                            <w:r w:rsidR="009E5A7E">
                              <w:rPr>
                                <w:color w:val="FFFFFF" w:themeColor="background1"/>
                              </w:rPr>
                              <w:t xml:space="preserve"> navigate </w:t>
                            </w:r>
                            <w:r w:rsidR="00301D03">
                              <w:rPr>
                                <w:color w:val="FFFFFF" w:themeColor="background1"/>
                              </w:rPr>
                              <w:t>a rapidly growing field.</w:t>
                            </w:r>
                            <w:r w:rsidR="009E5A7E">
                              <w:rPr>
                                <w:color w:val="FFFFFF" w:themeColor="background1"/>
                              </w:rPr>
                              <w:t xml:space="preserve"> </w:t>
                            </w:r>
                            <w:r w:rsidR="00301D03">
                              <w:rPr>
                                <w:color w:val="FFFFFF" w:themeColor="background1"/>
                              </w:rPr>
                              <w:t xml:space="preserve">This paper will </w:t>
                            </w:r>
                            <w:r w:rsidR="00301D03" w:rsidRPr="00301D03">
                              <w:rPr>
                                <w:color w:val="FFFFFF" w:themeColor="background1"/>
                              </w:rPr>
                              <w:t>provide the fundamentals to help healthcare professionals, biotech companies, and manufacturers in their ever-important work toward advancing cell-based therapies for patients worldwide</w:t>
                            </w:r>
                            <w:r w:rsidR="009E5A7E">
                              <w:rPr>
                                <w:color w:val="FFFFFF" w:themeColor="background1"/>
                              </w:rPr>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8CA94" id="_x0000_t202" coordsize="21600,21600" o:spt="202" path="m,l,21600r21600,l21600,xe">
                <v:stroke joinstyle="miter"/>
                <v:path gradientshapeok="t" o:connecttype="rect"/>
              </v:shapetype>
              <v:shape id="Text Box 1" o:spid="_x0000_s1026" type="#_x0000_t202" style="position:absolute;margin-left:-36.25pt;margin-top:41.15pt;width:616.55pt;height:1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" fillcolor="#008d61 [3205]" stroked="f" strokeweight=".5pt">
                <v:textbox inset=",5mm,,5mm">
                  <w:txbxContent>
                    <w:p w14:paraId="27EF869F" w14:textId="77777777" w:rsidR="00366EDD" w:rsidRPr="003C2194" w:rsidRDefault="00366EDD" w:rsidP="00366EDD">
                      <w:pPr>
                        <w:ind w:left="709" w:right="831"/>
                        <w:rPr>
                          <w:b/>
                          <w:bCs/>
                          <w:color w:val="FFFFFF" w:themeColor="background1"/>
                        </w:rPr>
                      </w:pPr>
                      <w:r w:rsidRPr="003C2194">
                        <w:rPr>
                          <w:b/>
                          <w:bCs/>
                          <w:color w:val="FFFFFF" w:themeColor="background1"/>
                        </w:rPr>
                        <w:t>Summary</w:t>
                      </w:r>
                    </w:p>
                    <w:p w14:paraId="2B0C389C" w14:textId="75185632" w:rsidR="00366EDD" w:rsidRPr="003C2194" w:rsidRDefault="00194A0D" w:rsidP="00366EDD">
                      <w:pPr>
                        <w:ind w:left="709" w:right="831"/>
                        <w:rPr>
                          <w:color w:val="FFFFFF" w:themeColor="background1"/>
                        </w:rPr>
                      </w:pPr>
                      <w:r>
                        <w:rPr>
                          <w:color w:val="FFFFFF" w:themeColor="background1"/>
                        </w:rPr>
                        <w:t xml:space="preserve">Learn about the basics of cell collection starting with the role the peripheral blood stem cells (PBSCs) and lymphocytes play in medical treatments like CAR T-cell therapies and hematopoietic stem cell transplantation (HSCT). Gain insight into common terminology, the importance of starting with high-quality materials, </w:t>
                      </w:r>
                      <w:r w:rsidR="00301D03">
                        <w:rPr>
                          <w:color w:val="FFFFFF" w:themeColor="background1"/>
                        </w:rPr>
                        <w:t xml:space="preserve">a basic overview of requirements, </w:t>
                      </w:r>
                      <w:r>
                        <w:rPr>
                          <w:color w:val="FFFFFF" w:themeColor="background1"/>
                        </w:rPr>
                        <w:t>and</w:t>
                      </w:r>
                      <w:r w:rsidR="00301D03">
                        <w:rPr>
                          <w:color w:val="FFFFFF" w:themeColor="background1"/>
                        </w:rPr>
                        <w:t xml:space="preserve"> tools such as</w:t>
                      </w:r>
                      <w:r>
                        <w:rPr>
                          <w:color w:val="FFFFFF" w:themeColor="background1"/>
                        </w:rPr>
                        <w:t xml:space="preserve"> data analysis </w:t>
                      </w:r>
                      <w:r w:rsidR="00301D03">
                        <w:rPr>
                          <w:color w:val="FFFFFF" w:themeColor="background1"/>
                        </w:rPr>
                        <w:t>that help</w:t>
                      </w:r>
                      <w:r w:rsidR="009E5A7E">
                        <w:rPr>
                          <w:color w:val="FFFFFF" w:themeColor="background1"/>
                        </w:rPr>
                        <w:t xml:space="preserve"> navigate </w:t>
                      </w:r>
                      <w:r w:rsidR="00301D03">
                        <w:rPr>
                          <w:color w:val="FFFFFF" w:themeColor="background1"/>
                        </w:rPr>
                        <w:t>a rapidly growing field.</w:t>
                      </w:r>
                      <w:r w:rsidR="009E5A7E">
                        <w:rPr>
                          <w:color w:val="FFFFFF" w:themeColor="background1"/>
                        </w:rPr>
                        <w:t xml:space="preserve"> </w:t>
                      </w:r>
                      <w:r w:rsidR="00301D03">
                        <w:rPr>
                          <w:color w:val="FFFFFF" w:themeColor="background1"/>
                        </w:rPr>
                        <w:t xml:space="preserve">This paper will </w:t>
                      </w:r>
                      <w:r w:rsidR="00301D03" w:rsidRPr="00301D03">
                        <w:rPr>
                          <w:color w:val="FFFFFF" w:themeColor="background1"/>
                        </w:rPr>
                        <w:t>provide the fundamentals to help healthcare professionals, biotech companies, and manufacturers in their ever-important work toward advancing cell-based therapies for patients worldwide</w:t>
                      </w:r>
                      <w:r w:rsidR="009E5A7E">
                        <w:rPr>
                          <w:color w:val="FFFFFF" w:themeColor="background1"/>
                        </w:rPr>
                        <w:t xml:space="preserve">. </w:t>
                      </w:r>
                    </w:p>
                  </w:txbxContent>
                </v:textbox>
              </v:shape>
            </w:pict>
          </mc:Fallback>
        </mc:AlternateContent>
      </w:r>
    </w:p>
    <w:p w14:paraId="65CA90F6" w14:textId="77777777" w:rsidR="00750722" w:rsidRPr="00595F39" w:rsidRDefault="00750722" w:rsidP="00750722">
      <w:pPr>
        <w:pStyle w:val="SectionHeader"/>
        <w:ind w:right="-7"/>
      </w:pPr>
      <w:r w:rsidRPr="00595F39">
        <w:lastRenderedPageBreak/>
        <w:t>Introduction</w:t>
      </w:r>
    </w:p>
    <w:p w14:paraId="534BC946" w14:textId="70C81867" w:rsidR="00301D03" w:rsidRDefault="00301D03" w:rsidP="00301D03">
      <w:r>
        <w:t xml:space="preserve">The </w:t>
      </w:r>
      <w:r w:rsidRPr="00920E13">
        <w:t xml:space="preserve">collection of peripheral blood stem cells (PBSCs) and lymphocytes has become integral in medical procedures such as </w:t>
      </w:r>
      <w:r>
        <w:t>chimeric antigen receptor (</w:t>
      </w:r>
      <w:r w:rsidRPr="00920E13">
        <w:t>CAR</w:t>
      </w:r>
      <w:r>
        <w:t>)</w:t>
      </w:r>
      <w:r w:rsidRPr="00920E13">
        <w:t xml:space="preserve"> T-cell therapies and hematopoietic stem cell transplantation (HSCT). </w:t>
      </w:r>
      <w:r>
        <w:t>Cell collections</w:t>
      </w:r>
      <w:r w:rsidRPr="00920E13">
        <w:t xml:space="preserve"> provide the fundamental </w:t>
      </w:r>
      <w:r>
        <w:t>sources of starting material for these curative therapies</w:t>
      </w:r>
      <w:r w:rsidRPr="00920E13">
        <w:t>, driving progress in the fields of hematology and immunology.</w:t>
      </w:r>
    </w:p>
    <w:p w14:paraId="5BE84EF5" w14:textId="77777777" w:rsidR="00301D03" w:rsidRDefault="00301D03" w:rsidP="00301D03"/>
    <w:p w14:paraId="1D75663D" w14:textId="0466AB45" w:rsidR="00301D03" w:rsidRDefault="00301D03" w:rsidP="00301D03">
      <w:r>
        <w:t xml:space="preserve">PBSCs required for HSCT can be harvested either directly from the bone marrow or from the blood (via leukapheresis) following hematopoietic stem cell (HSC) mobilization. PBSCs can </w:t>
      </w:r>
      <w:r w:rsidR="00790E40">
        <w:t xml:space="preserve">also </w:t>
      </w:r>
      <w:r>
        <w:t xml:space="preserve">be obtained from the umbilical cord blood of newborns. But umbilical cords produce only a small amount of blood, which might not </w:t>
      </w:r>
      <w:r w:rsidR="00977E5A">
        <w:t>have</w:t>
      </w:r>
      <w:r>
        <w:t xml:space="preserve"> enough</w:t>
      </w:r>
      <w:r w:rsidR="00977E5A">
        <w:t xml:space="preserve"> cells</w:t>
      </w:r>
      <w:r>
        <w:t xml:space="preserve"> for an adult. This type of transplant is generally used for children and small adults.</w:t>
      </w:r>
    </w:p>
    <w:p w14:paraId="3BDFE38A" w14:textId="77777777" w:rsidR="00301D03" w:rsidRDefault="00301D03" w:rsidP="00301D03"/>
    <w:p w14:paraId="1728F383" w14:textId="39F524CA" w:rsidR="00301D03" w:rsidRDefault="66D00E9B" w:rsidP="00301D03">
      <w:r>
        <w:t xml:space="preserve">The leukapheresis procedure involves passing blood through an </w:t>
      </w:r>
      <w:r w:rsidR="7CD3E9E2">
        <w:t>a</w:t>
      </w:r>
      <w:r>
        <w:t xml:space="preserve">pheresis system that </w:t>
      </w:r>
      <w:r w:rsidR="00752ECB">
        <w:t>removes</w:t>
      </w:r>
      <w:r>
        <w:t xml:space="preserve"> the white blood cells and returns all the r</w:t>
      </w:r>
      <w:r w:rsidR="00977E5A">
        <w:t>ed</w:t>
      </w:r>
      <w:r>
        <w:t xml:space="preserve"> blood cells and plasma to the bloodstream of the patient</w:t>
      </w:r>
      <w:r w:rsidR="00DC7BD1">
        <w:t xml:space="preserve"> or donor</w:t>
      </w:r>
      <w:r>
        <w:t xml:space="preserve">. Whether these cells are obtained </w:t>
      </w:r>
      <w:r w:rsidR="00752ECB">
        <w:t>through an</w:t>
      </w:r>
      <w:r>
        <w:t xml:space="preserve"> autologous or allogeneic </w:t>
      </w:r>
      <w:r w:rsidR="00752ECB">
        <w:t>method</w:t>
      </w:r>
      <w:r>
        <w:t xml:space="preserve">, PBSCs play a key role in restoring a patient’s hematopoiesis. </w:t>
      </w:r>
    </w:p>
    <w:p w14:paraId="19129BEB" w14:textId="77777777" w:rsidR="00301D03" w:rsidRDefault="00301D03" w:rsidP="00301D03"/>
    <w:p w14:paraId="79F44A1A" w14:textId="7BCCDA1F" w:rsidR="00301D03" w:rsidRDefault="66D00E9B" w:rsidP="00301D03">
      <w:r w:rsidRPr="003E3AD0">
        <w:t>Leukapheresis</w:t>
      </w:r>
      <w:r w:rsidR="00914BC7">
        <w:t xml:space="preserve"> collection of lymphocytes is becoming</w:t>
      </w:r>
      <w:r w:rsidR="00752ECB" w:rsidRPr="003E3AD0">
        <w:t xml:space="preserve"> </w:t>
      </w:r>
      <w:r w:rsidR="00914BC7">
        <w:t>more of a common practice</w:t>
      </w:r>
      <w:r w:rsidR="00752ECB" w:rsidRPr="003E3AD0">
        <w:t xml:space="preserve"> </w:t>
      </w:r>
      <w:r w:rsidRPr="003E3AD0">
        <w:t>due to the in</w:t>
      </w:r>
      <w:r w:rsidR="00914BC7">
        <w:t>creasing development of</w:t>
      </w:r>
      <w:r w:rsidRPr="003E3AD0">
        <w:t xml:space="preserve"> licensed and clinical trial CAR T-cell products</w:t>
      </w:r>
      <w:r w:rsidR="00F83915">
        <w:rPr>
          <w:vertAlign w:val="superscript"/>
        </w:rPr>
        <w:t>1</w:t>
      </w:r>
      <w:r w:rsidRPr="003E3AD0">
        <w:t>.</w:t>
      </w:r>
      <w:r>
        <w:t xml:space="preserve"> </w:t>
      </w:r>
      <w:r w:rsidR="00167ACC">
        <w:t>As a result,</w:t>
      </w:r>
      <w:r>
        <w:t xml:space="preserve"> </w:t>
      </w:r>
      <w:r w:rsidR="00167ACC">
        <w:t xml:space="preserve">there is a </w:t>
      </w:r>
      <w:r>
        <w:t xml:space="preserve">need for streamlined and reproducible manufacturing methods to facilitate large-scale production. </w:t>
      </w:r>
    </w:p>
    <w:p w14:paraId="2BCBCF71" w14:textId="77777777" w:rsidR="00301D03" w:rsidRDefault="00301D03" w:rsidP="00301D03"/>
    <w:p w14:paraId="44E1EF9A" w14:textId="3DC5D195" w:rsidR="00301D03" w:rsidRDefault="00ED4E00" w:rsidP="00301D03">
      <w:r>
        <w:t>While manufacturing methodology remains a critical focus,</w:t>
      </w:r>
      <w:r w:rsidR="00301D03">
        <w:t xml:space="preserve"> significant bottlenecks such as insufficient cell collection and poor-quality starting material </w:t>
      </w:r>
      <w:r w:rsidR="00A62037">
        <w:t>often stand</w:t>
      </w:r>
      <w:r w:rsidR="00301D03">
        <w:t xml:space="preserve"> in the way of progress and </w:t>
      </w:r>
      <w:r w:rsidR="00A62037">
        <w:t>production of these therapies at scale.</w:t>
      </w:r>
    </w:p>
    <w:p w14:paraId="2AB1C0B6" w14:textId="77777777" w:rsidR="00301D03" w:rsidRDefault="00301D03" w:rsidP="00301D03"/>
    <w:p w14:paraId="003AD0D3" w14:textId="10F87B18" w:rsidR="00301D03" w:rsidRDefault="00A53E88" w:rsidP="00301D03">
      <w:r>
        <w:t>In this paper, we will</w:t>
      </w:r>
      <w:r w:rsidR="66D00E9B">
        <w:t xml:space="preserve"> provide the fundamentals </w:t>
      </w:r>
      <w:r>
        <w:t xml:space="preserve">of cell collections </w:t>
      </w:r>
      <w:r w:rsidR="66D00E9B">
        <w:t xml:space="preserve">to help healthcare </w:t>
      </w:r>
      <w:r w:rsidR="66D00E9B">
        <w:t xml:space="preserve">professionals, biotech companies, and manufacturers in their ever-important work toward advancing cell-based therapies for patients worldwide. </w:t>
      </w:r>
    </w:p>
    <w:p w14:paraId="04B44329" w14:textId="79488A3A" w:rsidR="00750722" w:rsidRPr="00E939BA" w:rsidRDefault="00301D03" w:rsidP="00750722">
      <w:pPr>
        <w:pStyle w:val="SectionHeader"/>
        <w:spacing w:before="360"/>
        <w:ind w:right="-7"/>
      </w:pPr>
      <w:r>
        <w:t>Common Terms and Definitions</w:t>
      </w:r>
    </w:p>
    <w:p w14:paraId="583694AA" w14:textId="5B37CC48" w:rsidR="00301D03" w:rsidRPr="003558F5" w:rsidRDefault="66D00E9B" w:rsidP="3590B097">
      <w:r>
        <w:t>Cell collection, in the context of HSCT and CAR T-cell therapies, involves several core principles and terms. Below are some common terms</w:t>
      </w:r>
      <w:r w:rsidR="457ABFC0">
        <w:t xml:space="preserve"> you may come across,</w:t>
      </w:r>
      <w:r>
        <w:t xml:space="preserve"> </w:t>
      </w:r>
      <w:r w:rsidR="7512FAB0">
        <w:t xml:space="preserve">along with </w:t>
      </w:r>
      <w:r>
        <w:t>their definitions:</w:t>
      </w:r>
    </w:p>
    <w:p w14:paraId="5E0F7589"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Anticoagulant:</w:t>
      </w:r>
      <w:r w:rsidRPr="77FB5134">
        <w:rPr>
          <w:rFonts w:ascii="Arial" w:hAnsi="Arial" w:cs="Arial"/>
        </w:rPr>
        <w:t xml:space="preserve"> An agent used to prevent blood clot formation.</w:t>
      </w:r>
    </w:p>
    <w:p w14:paraId="4CC707F0" w14:textId="77777777" w:rsidR="00C077E1" w:rsidRPr="00C077E1" w:rsidRDefault="00C077E1" w:rsidP="00430FF1">
      <w:pPr>
        <w:pStyle w:val="ListParagraph"/>
        <w:numPr>
          <w:ilvl w:val="0"/>
          <w:numId w:val="1"/>
        </w:numPr>
        <w:rPr>
          <w:rFonts w:ascii="Arial" w:hAnsi="Arial"/>
          <w:b/>
          <w:bCs/>
        </w:rPr>
      </w:pPr>
      <w:r w:rsidRPr="77FB5134">
        <w:rPr>
          <w:rFonts w:ascii="Arial" w:hAnsi="Arial" w:cs="Arial"/>
          <w:b/>
          <w:bCs/>
        </w:rPr>
        <w:t xml:space="preserve">Apheresis: </w:t>
      </w:r>
      <w:r w:rsidRPr="77FB5134">
        <w:rPr>
          <w:rFonts w:ascii="Arial" w:hAnsi="Arial" w:cs="Arial"/>
        </w:rPr>
        <w:t>A procedure in which a patient’s blood passes through a device that separates out a particular blood component and returns the remainder to the patient.</w:t>
      </w:r>
    </w:p>
    <w:p w14:paraId="7A817D14" w14:textId="08FC293F" w:rsidR="00FC6985" w:rsidRPr="00C077E1" w:rsidRDefault="00FC6985" w:rsidP="00430FF1">
      <w:pPr>
        <w:pStyle w:val="ListParagraph"/>
        <w:numPr>
          <w:ilvl w:val="0"/>
          <w:numId w:val="1"/>
        </w:numPr>
        <w:rPr>
          <w:rFonts w:ascii="Arial" w:hAnsi="Arial"/>
          <w:b/>
          <w:bCs/>
        </w:rPr>
      </w:pPr>
      <w:r w:rsidRPr="77FB5134">
        <w:rPr>
          <w:rFonts w:ascii="Arial" w:hAnsi="Arial" w:cs="Arial"/>
          <w:b/>
          <w:bCs/>
        </w:rPr>
        <w:t>Buffy coat:</w:t>
      </w:r>
      <w:r w:rsidRPr="77FB5134">
        <w:rPr>
          <w:rFonts w:ascii="Arial" w:hAnsi="Arial" w:cs="Arial"/>
        </w:rPr>
        <w:t xml:space="preserve"> A blood fraction containing white blood cells and platelets.</w:t>
      </w:r>
    </w:p>
    <w:p w14:paraId="54A87475"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CAR T-cell therapy:</w:t>
      </w:r>
      <w:r w:rsidRPr="77FB5134">
        <w:rPr>
          <w:rFonts w:ascii="Arial" w:hAnsi="Arial" w:cs="Arial"/>
        </w:rPr>
        <w:t xml:space="preserve"> A treatment involving the modification of a patient's T cells to attack cancer cells.</w:t>
      </w:r>
    </w:p>
    <w:p w14:paraId="76B3D0F9" w14:textId="04F829AE" w:rsidR="00D05022" w:rsidRPr="00D05022"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CD3</w:t>
      </w:r>
      <w:r w:rsidR="00D05022" w:rsidRPr="77FB5134">
        <w:rPr>
          <w:rFonts w:ascii="Arial" w:hAnsi="Arial" w:cs="Arial"/>
          <w:b/>
          <w:bCs/>
        </w:rPr>
        <w:t>+:</w:t>
      </w:r>
      <w:r w:rsidRPr="77FB5134">
        <w:rPr>
          <w:rFonts w:ascii="Arial" w:hAnsi="Arial" w:cs="Arial"/>
          <w:b/>
          <w:bCs/>
        </w:rPr>
        <w:t xml:space="preserve"> </w:t>
      </w:r>
      <w:r w:rsidR="00D05022" w:rsidRPr="77FB5134">
        <w:rPr>
          <w:rFonts w:ascii="Arial" w:hAnsi="Arial" w:cs="Arial"/>
        </w:rPr>
        <w:t>A marker of T lymphocytes (or T</w:t>
      </w:r>
      <w:r w:rsidR="00AB4471" w:rsidRPr="77FB5134">
        <w:rPr>
          <w:rFonts w:ascii="Arial" w:hAnsi="Arial" w:cs="Arial"/>
        </w:rPr>
        <w:t xml:space="preserve"> cells) derived from CD34+ cells.</w:t>
      </w:r>
    </w:p>
    <w:p w14:paraId="5D8880A6" w14:textId="23371212"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CD19</w:t>
      </w:r>
      <w:r w:rsidR="00D05022" w:rsidRPr="77FB5134">
        <w:rPr>
          <w:rFonts w:ascii="Arial" w:hAnsi="Arial" w:cs="Arial"/>
          <w:b/>
          <w:bCs/>
        </w:rPr>
        <w:t>+</w:t>
      </w:r>
      <w:r w:rsidRPr="77FB5134">
        <w:rPr>
          <w:rFonts w:ascii="Arial" w:hAnsi="Arial" w:cs="Arial"/>
          <w:b/>
          <w:bCs/>
        </w:rPr>
        <w:t>:</w:t>
      </w:r>
      <w:r w:rsidRPr="77FB5134">
        <w:rPr>
          <w:rFonts w:ascii="Arial" w:hAnsi="Arial" w:cs="Arial"/>
        </w:rPr>
        <w:t xml:space="preserve"> </w:t>
      </w:r>
      <w:r w:rsidR="00AB4471" w:rsidRPr="77FB5134">
        <w:rPr>
          <w:rFonts w:ascii="Arial" w:hAnsi="Arial" w:cs="Arial"/>
        </w:rPr>
        <w:t>A marker of B lymphocytes (or B cells) derived from CD34+ cells</w:t>
      </w:r>
      <w:r w:rsidRPr="77FB5134">
        <w:rPr>
          <w:rFonts w:ascii="Arial" w:hAnsi="Arial" w:cs="Arial"/>
        </w:rPr>
        <w:t>.</w:t>
      </w:r>
      <w:r w:rsidR="00AB4471" w:rsidRPr="77FB5134">
        <w:rPr>
          <w:rFonts w:ascii="Arial" w:hAnsi="Arial" w:cs="Arial"/>
        </w:rPr>
        <w:t xml:space="preserve"> </w:t>
      </w:r>
      <w:r w:rsidR="00AC0179" w:rsidRPr="77FB5134">
        <w:rPr>
          <w:rFonts w:ascii="Arial" w:hAnsi="Arial" w:cs="Arial"/>
        </w:rPr>
        <w:t xml:space="preserve">Also, a common target for B cell malignancies treated by CAR T-cell therapies. </w:t>
      </w:r>
    </w:p>
    <w:p w14:paraId="58BC3978" w14:textId="0E074E1D"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CD34+:</w:t>
      </w:r>
      <w:r w:rsidRPr="77FB5134">
        <w:rPr>
          <w:rFonts w:ascii="Arial" w:hAnsi="Arial" w:cs="Arial"/>
        </w:rPr>
        <w:t xml:space="preserve"> A marker of </w:t>
      </w:r>
      <w:r w:rsidR="00E72064" w:rsidRPr="77FB5134">
        <w:rPr>
          <w:rFonts w:ascii="Arial" w:hAnsi="Arial" w:cs="Arial"/>
        </w:rPr>
        <w:t xml:space="preserve">PBSCs, also known as HSCs, </w:t>
      </w:r>
      <w:r w:rsidRPr="77FB5134">
        <w:rPr>
          <w:rFonts w:ascii="Arial" w:hAnsi="Arial" w:cs="Arial"/>
        </w:rPr>
        <w:t>and clinically important cells for procedures like bone marrow transplants.</w:t>
      </w:r>
    </w:p>
    <w:p w14:paraId="47F59047" w14:textId="6EE44E3F"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Collection preference (CP):</w:t>
      </w:r>
      <w:r w:rsidRPr="77FB5134">
        <w:rPr>
          <w:rFonts w:ascii="Arial" w:hAnsi="Arial" w:cs="Arial"/>
        </w:rPr>
        <w:t xml:space="preserve"> A reference number used </w:t>
      </w:r>
      <w:r w:rsidR="00032A2D" w:rsidRPr="77FB5134">
        <w:rPr>
          <w:rFonts w:ascii="Arial" w:hAnsi="Arial" w:cs="Arial"/>
        </w:rPr>
        <w:t xml:space="preserve">by </w:t>
      </w:r>
      <w:r w:rsidR="4799381B" w:rsidRPr="77FB5134">
        <w:rPr>
          <w:rFonts w:ascii="Arial" w:hAnsi="Arial" w:cs="Arial"/>
        </w:rPr>
        <w:t xml:space="preserve">the </w:t>
      </w:r>
      <w:r w:rsidR="00032A2D" w:rsidRPr="77FB5134">
        <w:rPr>
          <w:rFonts w:ascii="Arial" w:hAnsi="Arial" w:cs="Arial"/>
        </w:rPr>
        <w:t>Spectra Optia</w:t>
      </w:r>
      <w:r w:rsidR="00F151EE" w:rsidRPr="00430FF1">
        <w:rPr>
          <w:rFonts w:ascii="Arial" w:hAnsi="Arial" w:cs="Arial"/>
          <w:vertAlign w:val="superscript"/>
        </w:rPr>
        <w:t>®</w:t>
      </w:r>
      <w:r w:rsidR="00F151EE" w:rsidRPr="77FB5134">
        <w:rPr>
          <w:rFonts w:ascii="Arial" w:hAnsi="Arial" w:cs="Arial"/>
        </w:rPr>
        <w:t xml:space="preserve"> Apheresis System </w:t>
      </w:r>
      <w:r w:rsidRPr="77FB5134">
        <w:rPr>
          <w:rFonts w:ascii="Arial" w:hAnsi="Arial" w:cs="Arial"/>
        </w:rPr>
        <w:t>to adjust plasma pump flow rates.</w:t>
      </w:r>
    </w:p>
    <w:p w14:paraId="32ACCBE9"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Continuous mononuclear cell collection protocol (CMNC):</w:t>
      </w:r>
      <w:r w:rsidRPr="77FB5134">
        <w:rPr>
          <w:rFonts w:ascii="Arial" w:hAnsi="Arial" w:cs="Arial"/>
        </w:rPr>
        <w:t xml:space="preserve"> A protocol for continuously pumping target cells from the centrifuge to the collection bag.</w:t>
      </w:r>
    </w:p>
    <w:p w14:paraId="2A177480"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 xml:space="preserve">Cryopreservation: </w:t>
      </w:r>
      <w:r w:rsidRPr="77FB5134">
        <w:rPr>
          <w:rFonts w:ascii="Arial" w:hAnsi="Arial" w:cs="Arial"/>
        </w:rPr>
        <w:t>The process of preserving biological materials by cooling them to low temperatures.</w:t>
      </w:r>
    </w:p>
    <w:p w14:paraId="60DD1795"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Extracorporeal volume:</w:t>
      </w:r>
      <w:r w:rsidRPr="77FB5134">
        <w:rPr>
          <w:rFonts w:ascii="Arial" w:hAnsi="Arial" w:cs="Arial"/>
        </w:rPr>
        <w:t xml:space="preserve"> The volume of a patient's blood outside their body during apheresis.</w:t>
      </w:r>
    </w:p>
    <w:p w14:paraId="1CDE9B1A"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Granulocyte:</w:t>
      </w:r>
      <w:r w:rsidRPr="77FB5134">
        <w:rPr>
          <w:rFonts w:ascii="Arial" w:hAnsi="Arial" w:cs="Arial"/>
        </w:rPr>
        <w:t xml:space="preserve"> A white blood cell type containing granules with enzymes.</w:t>
      </w:r>
    </w:p>
    <w:p w14:paraId="22F10479"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Hematopoietic stem cell (HSC):</w:t>
      </w:r>
      <w:r w:rsidRPr="77FB5134">
        <w:rPr>
          <w:rFonts w:ascii="Arial" w:hAnsi="Arial" w:cs="Arial"/>
        </w:rPr>
        <w:t xml:space="preserve"> An undifferentiated stem cell giving rise to other stem cells.</w:t>
      </w:r>
    </w:p>
    <w:p w14:paraId="13454923" w14:textId="7E0ABCD2"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Lymphocyte:</w:t>
      </w:r>
      <w:r w:rsidRPr="77FB5134">
        <w:rPr>
          <w:rFonts w:ascii="Arial" w:hAnsi="Arial" w:cs="Arial"/>
        </w:rPr>
        <w:t xml:space="preserve"> A white blood cell type </w:t>
      </w:r>
      <w:r w:rsidR="00506801" w:rsidRPr="77FB5134">
        <w:rPr>
          <w:rFonts w:ascii="Arial" w:hAnsi="Arial" w:cs="Arial"/>
        </w:rPr>
        <w:t>developed</w:t>
      </w:r>
      <w:r w:rsidRPr="77FB5134">
        <w:rPr>
          <w:rFonts w:ascii="Arial" w:hAnsi="Arial" w:cs="Arial"/>
        </w:rPr>
        <w:t xml:space="preserve"> in the bone marrow and</w:t>
      </w:r>
      <w:r w:rsidR="00506801" w:rsidRPr="77FB5134">
        <w:rPr>
          <w:rFonts w:ascii="Arial" w:hAnsi="Arial" w:cs="Arial"/>
        </w:rPr>
        <w:t xml:space="preserve"> thymus</w:t>
      </w:r>
      <w:r w:rsidR="009858B6" w:rsidRPr="77FB5134">
        <w:rPr>
          <w:rFonts w:ascii="Arial" w:hAnsi="Arial" w:cs="Arial"/>
        </w:rPr>
        <w:t>. It is</w:t>
      </w:r>
      <w:r w:rsidRPr="77FB5134">
        <w:rPr>
          <w:rFonts w:ascii="Arial" w:hAnsi="Arial" w:cs="Arial"/>
        </w:rPr>
        <w:t xml:space="preserve"> found in the blood and lymph tissue to help fight against infection and cancer.</w:t>
      </w:r>
    </w:p>
    <w:p w14:paraId="64137983"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Mobilization:</w:t>
      </w:r>
      <w:r w:rsidRPr="77FB5134">
        <w:rPr>
          <w:rFonts w:ascii="Arial" w:hAnsi="Arial" w:cs="Arial"/>
        </w:rPr>
        <w:t xml:space="preserve"> A process that employs drugs to move stem cells from the bone marrow into the bloodstream.</w:t>
      </w:r>
    </w:p>
    <w:p w14:paraId="5A298076"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Mobilized patients:</w:t>
      </w:r>
      <w:r w:rsidRPr="77FB5134">
        <w:rPr>
          <w:rFonts w:ascii="Arial" w:hAnsi="Arial" w:cs="Arial"/>
        </w:rPr>
        <w:t xml:space="preserve"> Patients receiving drugs to move bone marrow into the bloodstream.</w:t>
      </w:r>
    </w:p>
    <w:p w14:paraId="053221F6"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lastRenderedPageBreak/>
        <w:t>Monocyte:</w:t>
      </w:r>
      <w:r w:rsidRPr="77FB5134">
        <w:rPr>
          <w:rFonts w:ascii="Arial" w:hAnsi="Arial" w:cs="Arial"/>
        </w:rPr>
        <w:t xml:space="preserve"> A type of white blood cell that turns into macrophages or dendritic cells when germs enter the body.</w:t>
      </w:r>
    </w:p>
    <w:p w14:paraId="6F4D8DD7"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Mononuclear cell collection protocol (MNC):</w:t>
      </w:r>
      <w:r w:rsidRPr="77FB5134">
        <w:rPr>
          <w:rFonts w:ascii="Arial" w:hAnsi="Arial" w:cs="Arial"/>
        </w:rPr>
        <w:t xml:space="preserve"> A protocol that cycles through accumulation and collection phases.</w:t>
      </w:r>
    </w:p>
    <w:p w14:paraId="112F3AF4" w14:textId="3E8F27A2" w:rsidR="002E39C9"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Non-target cells:</w:t>
      </w:r>
      <w:r w:rsidRPr="77FB5134">
        <w:rPr>
          <w:rFonts w:ascii="Arial" w:hAnsi="Arial" w:cs="Arial"/>
        </w:rPr>
        <w:t xml:space="preserve"> Cells collected along with target cells that can impact the final product.</w:t>
      </w:r>
    </w:p>
    <w:p w14:paraId="651CD436" w14:textId="4416A57E" w:rsidR="000A5B2D" w:rsidRPr="000A5B2D" w:rsidRDefault="000A5B2D" w:rsidP="00430FF1">
      <w:pPr>
        <w:pStyle w:val="ListParagraph"/>
        <w:numPr>
          <w:ilvl w:val="0"/>
          <w:numId w:val="1"/>
        </w:numPr>
        <w:spacing w:after="0" w:line="240" w:lineRule="auto"/>
        <w:ind w:right="0"/>
        <w:rPr>
          <w:rFonts w:ascii="Arial" w:hAnsi="Arial"/>
        </w:rPr>
      </w:pPr>
      <w:r w:rsidRPr="77FB5134">
        <w:rPr>
          <w:rFonts w:ascii="Arial" w:hAnsi="Arial" w:cs="Arial"/>
          <w:b/>
          <w:bCs/>
        </w:rPr>
        <w:t>Peripheral blood stem cell (PBSC</w:t>
      </w:r>
      <w:r w:rsidR="00463904" w:rsidRPr="77FB5134">
        <w:rPr>
          <w:rFonts w:ascii="Arial" w:hAnsi="Arial" w:cs="Arial"/>
          <w:b/>
          <w:bCs/>
        </w:rPr>
        <w:t xml:space="preserve">): </w:t>
      </w:r>
      <w:r w:rsidR="00463904" w:rsidRPr="77FB5134">
        <w:rPr>
          <w:rFonts w:ascii="Arial" w:hAnsi="Arial" w:cs="Arial"/>
        </w:rPr>
        <w:t>Early-stage hematopoietic cells critical for blood cell production, collected from peripheral blood.</w:t>
      </w:r>
    </w:p>
    <w:p w14:paraId="0799639F" w14:textId="08892A7A"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Platelets:</w:t>
      </w:r>
      <w:r w:rsidRPr="77FB5134">
        <w:rPr>
          <w:rFonts w:ascii="Arial" w:hAnsi="Arial" w:cs="Arial"/>
        </w:rPr>
        <w:t xml:space="preserve"> Small cell fragments involved in blood coagulation.</w:t>
      </w:r>
    </w:p>
    <w:p w14:paraId="228F8090" w14:textId="77777777" w:rsidR="00FC6985" w:rsidRDefault="00FC6985" w:rsidP="00430FF1">
      <w:pPr>
        <w:pStyle w:val="ListParagraph"/>
        <w:numPr>
          <w:ilvl w:val="0"/>
          <w:numId w:val="1"/>
        </w:numPr>
        <w:spacing w:after="0" w:line="240" w:lineRule="auto"/>
        <w:ind w:right="0"/>
        <w:rPr>
          <w:rFonts w:ascii="Arial" w:hAnsi="Arial"/>
        </w:rPr>
      </w:pPr>
      <w:r w:rsidRPr="77FB5134">
        <w:rPr>
          <w:rFonts w:ascii="Arial" w:hAnsi="Arial" w:cs="Arial"/>
          <w:b/>
          <w:bCs/>
        </w:rPr>
        <w:t>Vascular access:</w:t>
      </w:r>
      <w:r w:rsidRPr="77FB5134">
        <w:rPr>
          <w:rFonts w:ascii="Arial" w:hAnsi="Arial" w:cs="Arial"/>
        </w:rPr>
        <w:t xml:space="preserve"> The method used to gain access to a patient's venous system during apheresis.</w:t>
      </w:r>
    </w:p>
    <w:p w14:paraId="63219249" w14:textId="77777777" w:rsidR="00481145" w:rsidRDefault="00481145" w:rsidP="00750722">
      <w:pPr>
        <w:pStyle w:val="Subhead"/>
        <w:ind w:right="-7"/>
        <w:rPr>
          <w:b/>
          <w:bCs/>
        </w:rPr>
      </w:pPr>
    </w:p>
    <w:p w14:paraId="4C41CFAC" w14:textId="53259067" w:rsidR="00750722" w:rsidRPr="004E4DAB" w:rsidRDefault="004E4DAB" w:rsidP="00750722">
      <w:pPr>
        <w:pStyle w:val="Subhead"/>
        <w:ind w:right="-7"/>
        <w:rPr>
          <w:b/>
          <w:bCs/>
        </w:rPr>
      </w:pPr>
      <w:r>
        <w:rPr>
          <w:b/>
          <w:bCs/>
        </w:rPr>
        <w:t>Cell Collection Basics</w:t>
      </w:r>
    </w:p>
    <w:p w14:paraId="7570B8F7" w14:textId="48725B54" w:rsidR="004E4DAB" w:rsidRDefault="624293FE" w:rsidP="004E4DAB">
      <w:r>
        <w:t>Cell collections are built upon an intricate process. Within this process</w:t>
      </w:r>
      <w:r w:rsidR="0E4F76B3">
        <w:t>,</w:t>
      </w:r>
      <w:r>
        <w:t xml:space="preserve"> and depending on the type of procedure, the collection of specific blood components such as PBSCs (also known as stem cells) and lymphocytes occurs. </w:t>
      </w:r>
      <w:r w:rsidR="0A120AF8">
        <w:t>And e</w:t>
      </w:r>
      <w:r>
        <w:t>ach</w:t>
      </w:r>
      <w:r w:rsidR="14B60D17">
        <w:t xml:space="preserve"> </w:t>
      </w:r>
      <w:r w:rsidR="009A6969">
        <w:t>cell type</w:t>
      </w:r>
      <w:r>
        <w:t xml:space="preserve"> </w:t>
      </w:r>
      <w:r w:rsidR="355E7250">
        <w:t xml:space="preserve">has </w:t>
      </w:r>
      <w:r>
        <w:t xml:space="preserve">its own distinct role and characteristics.   </w:t>
      </w:r>
    </w:p>
    <w:p w14:paraId="0074C562" w14:textId="77777777" w:rsidR="004E4DAB" w:rsidRDefault="004E4DAB" w:rsidP="004E4DAB"/>
    <w:p w14:paraId="1AC4F893" w14:textId="0EAFEB21" w:rsidR="004E4DAB" w:rsidRDefault="624293FE" w:rsidP="004E4DAB">
      <w:r>
        <w:t>PBSCs are the architects of regeneration within the human body. In fact, they can even develop into more blood-forming</w:t>
      </w:r>
      <w:r w:rsidR="5B35DD6A">
        <w:t>,</w:t>
      </w:r>
      <w:r>
        <w:t xml:space="preserve"> specialized cells</w:t>
      </w:r>
      <w:r w:rsidR="6E429686">
        <w:t xml:space="preserve"> — </w:t>
      </w:r>
      <w:r>
        <w:t xml:space="preserve">making them a versatile resource for therapeutic treatments. </w:t>
      </w:r>
    </w:p>
    <w:p w14:paraId="1180ED2F" w14:textId="77777777" w:rsidR="004E4DAB" w:rsidRDefault="004E4DAB" w:rsidP="004E4DAB"/>
    <w:p w14:paraId="1A17D185" w14:textId="77777777" w:rsidR="004E4DAB" w:rsidRDefault="004E4DAB" w:rsidP="004E4DAB">
      <w:r>
        <w:t>Three primary categories of stem cells are recognized today:</w:t>
      </w:r>
    </w:p>
    <w:p w14:paraId="1ECDA84F" w14:textId="098A57D5" w:rsidR="004E4DAB" w:rsidRDefault="004E4DAB" w:rsidP="004E4DAB">
      <w:pPr>
        <w:pStyle w:val="ListParagraph"/>
        <w:numPr>
          <w:ilvl w:val="0"/>
          <w:numId w:val="18"/>
        </w:numPr>
        <w:spacing w:after="0" w:line="240" w:lineRule="auto"/>
        <w:ind w:right="0"/>
      </w:pPr>
      <w:r w:rsidRPr="00FF4CEA">
        <w:rPr>
          <w:b/>
          <w:bCs/>
        </w:rPr>
        <w:t>Embryonic stem cells:</w:t>
      </w:r>
      <w:r>
        <w:t xml:space="preserve"> </w:t>
      </w:r>
      <w:r w:rsidR="00F214E2">
        <w:t xml:space="preserve">These versatile </w:t>
      </w:r>
      <w:r w:rsidRPr="00FF4CEA">
        <w:t>cells can form nearly any cell type in the body.</w:t>
      </w:r>
    </w:p>
    <w:p w14:paraId="52BE9762" w14:textId="21182A99" w:rsidR="004E4DAB" w:rsidRDefault="624293FE" w:rsidP="004E4DAB">
      <w:pPr>
        <w:pStyle w:val="ListParagraph"/>
        <w:numPr>
          <w:ilvl w:val="0"/>
          <w:numId w:val="18"/>
        </w:numPr>
        <w:spacing w:after="0" w:line="240" w:lineRule="auto"/>
        <w:ind w:right="0"/>
      </w:pPr>
      <w:r w:rsidRPr="3590B097">
        <w:rPr>
          <w:b/>
          <w:bCs/>
        </w:rPr>
        <w:t>Adult stem cells:</w:t>
      </w:r>
      <w:r>
        <w:t xml:space="preserve"> </w:t>
      </w:r>
      <w:r w:rsidR="619C73CE">
        <w:t>These</w:t>
      </w:r>
      <w:r w:rsidR="00F214E2">
        <w:t xml:space="preserve"> more specialized cells</w:t>
      </w:r>
      <w:r>
        <w:t xml:space="preserve"> are found in specific tissues where they contribute to tissue maintenance and repair.</w:t>
      </w:r>
    </w:p>
    <w:p w14:paraId="74C26107" w14:textId="6F53973D" w:rsidR="004E4DAB" w:rsidRPr="00115AA3" w:rsidRDefault="624293FE" w:rsidP="004E4DAB">
      <w:pPr>
        <w:pStyle w:val="ListParagraph"/>
        <w:numPr>
          <w:ilvl w:val="0"/>
          <w:numId w:val="18"/>
        </w:numPr>
        <w:spacing w:after="0" w:line="240" w:lineRule="auto"/>
        <w:ind w:right="0"/>
      </w:pPr>
      <w:r w:rsidRPr="3590B097">
        <w:rPr>
          <w:b/>
          <w:bCs/>
        </w:rPr>
        <w:t xml:space="preserve">Induced pluripotent stem cells: </w:t>
      </w:r>
      <w:r w:rsidR="00215C4D">
        <w:t>Induced</w:t>
      </w:r>
      <w:r w:rsidR="48DDF02C">
        <w:t xml:space="preserve"> pluripotent stem cells </w:t>
      </w:r>
      <w:r>
        <w:t xml:space="preserve">are adult cells derived from the skin or blood and have been reprogrammed into an embryonic-like pluripotent state. </w:t>
      </w:r>
    </w:p>
    <w:p w14:paraId="60114A91" w14:textId="77777777" w:rsidR="004E4DAB" w:rsidRDefault="004E4DAB" w:rsidP="004E4DAB"/>
    <w:p w14:paraId="4E7780AB" w14:textId="4D8BB25E" w:rsidR="004E4DAB" w:rsidRDefault="624293FE" w:rsidP="004E4DAB">
      <w:r>
        <w:t>Lymphocytes are a</w:t>
      </w:r>
      <w:r w:rsidR="00242A7B">
        <w:t>n</w:t>
      </w:r>
      <w:r>
        <w:t xml:space="preserve"> important component of the immune system. These white blood cells are primarily produced in the bone marrow and further mature in lymphoid tissues (such as the thymus, spleen, and lymph nodes). </w:t>
      </w:r>
    </w:p>
    <w:p w14:paraId="53C0107C" w14:textId="32E16A4E" w:rsidR="004E4DAB" w:rsidRDefault="004E4DAB" w:rsidP="004E4DAB"/>
    <w:p w14:paraId="0466C362" w14:textId="0DA6BF18" w:rsidR="004E4DAB" w:rsidRDefault="624293FE" w:rsidP="004E4DAB">
      <w:r>
        <w:t>Lymphocytes are divided into two main categories:</w:t>
      </w:r>
    </w:p>
    <w:p w14:paraId="75622A57" w14:textId="764B3117" w:rsidR="004E4DAB" w:rsidRDefault="624293FE" w:rsidP="00333548">
      <w:pPr>
        <w:ind w:right="463"/>
      </w:pPr>
      <w:r w:rsidRPr="3590B097">
        <w:rPr>
          <w:b/>
          <w:bCs/>
        </w:rPr>
        <w:t xml:space="preserve">B </w:t>
      </w:r>
      <w:r w:rsidR="795D6FBF" w:rsidRPr="3590B097">
        <w:rPr>
          <w:b/>
          <w:bCs/>
        </w:rPr>
        <w:t>l</w:t>
      </w:r>
      <w:r w:rsidRPr="3590B097">
        <w:rPr>
          <w:b/>
          <w:bCs/>
        </w:rPr>
        <w:t>ymphocytes:</w:t>
      </w:r>
      <w:r>
        <w:t xml:space="preserve"> Responsible for producing antibodies, which help recognize and neutralize foreign substances (antigens). </w:t>
      </w:r>
    </w:p>
    <w:p w14:paraId="561427F6" w14:textId="53B9E8A5" w:rsidR="3590B097" w:rsidRDefault="624293FE">
      <w:r w:rsidRPr="3590B097">
        <w:rPr>
          <w:b/>
          <w:bCs/>
        </w:rPr>
        <w:t xml:space="preserve">T </w:t>
      </w:r>
      <w:r w:rsidR="72D3BD7D" w:rsidRPr="3590B097">
        <w:rPr>
          <w:b/>
          <w:bCs/>
        </w:rPr>
        <w:t>l</w:t>
      </w:r>
      <w:r w:rsidRPr="3590B097">
        <w:rPr>
          <w:b/>
          <w:bCs/>
        </w:rPr>
        <w:t>ymphocytes:</w:t>
      </w:r>
      <w:r>
        <w:t xml:space="preserve"> Involved in cell-mediated immunity, including the direct targeting and destruction of infected or abnormal cells.</w:t>
      </w:r>
    </w:p>
    <w:p w14:paraId="785A3368" w14:textId="4EBFAB8C" w:rsidR="004E4DAB" w:rsidRDefault="624293FE" w:rsidP="004E4DAB">
      <w:r>
        <w:t xml:space="preserve">T </w:t>
      </w:r>
      <w:r w:rsidR="4D44EB64">
        <w:t>l</w:t>
      </w:r>
      <w:r>
        <w:t>ymphocytes are further categorized into T</w:t>
      </w:r>
      <w:r w:rsidR="00F214E2">
        <w:t> </w:t>
      </w:r>
      <w:r>
        <w:t xml:space="preserve">helper cells (CD4+), cytotoxic T cells (CD8+), and regulatory T cells (Tregs). Each </w:t>
      </w:r>
      <w:r w:rsidR="58AFE258">
        <w:t xml:space="preserve">has </w:t>
      </w:r>
      <w:r>
        <w:t xml:space="preserve">a specific function within the immune response. In the context of cell collection, T </w:t>
      </w:r>
      <w:r w:rsidR="76230800">
        <w:t>l</w:t>
      </w:r>
      <w:r>
        <w:t xml:space="preserve">ymphocytes are collected through apheresis for </w:t>
      </w:r>
      <w:r w:rsidR="00BA7E2D">
        <w:t>therapeutic purposes</w:t>
      </w:r>
      <w:r>
        <w:t xml:space="preserve">, including CAR T-cell therapies and HSCT. </w:t>
      </w:r>
    </w:p>
    <w:p w14:paraId="3773198A" w14:textId="77777777" w:rsidR="004E4DAB" w:rsidRDefault="004E4DAB" w:rsidP="004E4DAB"/>
    <w:p w14:paraId="55A7873E" w14:textId="1A194D20" w:rsidR="004E4DAB" w:rsidRDefault="624293FE" w:rsidP="004E4DAB">
      <w:r>
        <w:t xml:space="preserve">In the case of CAR T-cell therapies, </w:t>
      </w:r>
      <w:r w:rsidR="7C7D1F19">
        <w:t>T</w:t>
      </w:r>
      <w:r w:rsidR="00F214E2">
        <w:t> </w:t>
      </w:r>
      <w:r w:rsidR="7C7D1F19">
        <w:t xml:space="preserve">lymphocytes </w:t>
      </w:r>
      <w:r>
        <w:t>are engineered into therapeutic agents to</w:t>
      </w:r>
      <w:r w:rsidR="00823B62">
        <w:t xml:space="preserve"> provide immune-regulating functions and</w:t>
      </w:r>
      <w:r>
        <w:t xml:space="preserve"> target specific diseases. This is why the success of the collection and preservation of T </w:t>
      </w:r>
      <w:r w:rsidR="7040A3BE">
        <w:t>l</w:t>
      </w:r>
      <w:r>
        <w:t xml:space="preserve">ymphocytes is critical for therapeutic effectiveness and outcomes. </w:t>
      </w:r>
    </w:p>
    <w:p w14:paraId="515E4D40" w14:textId="7AC86D6D" w:rsidR="00750722" w:rsidRPr="00E939BA" w:rsidRDefault="004E4DAB" w:rsidP="00750722">
      <w:pPr>
        <w:pStyle w:val="SectionHeader"/>
        <w:spacing w:before="360"/>
        <w:ind w:right="-7"/>
      </w:pPr>
      <w:r>
        <w:t>Overview of Cell Collection Requirements</w:t>
      </w:r>
    </w:p>
    <w:p w14:paraId="7B99A12B" w14:textId="725A3357" w:rsidR="004E4DAB" w:rsidRDefault="004E4DAB" w:rsidP="004E4DAB">
      <w:r>
        <w:t xml:space="preserve">The fast-growing landscape of cellular-based therapies has created even higher stakes for patient outcomes and cellular starting material success. In recent years, cellular-based therapy has been incorporated into the regulatory guidance around donor identification, </w:t>
      </w:r>
      <w:r w:rsidR="00F214E2">
        <w:t xml:space="preserve">cell </w:t>
      </w:r>
      <w:r>
        <w:t xml:space="preserve">collection, cell therapy manufacturing, and administration.  </w:t>
      </w:r>
    </w:p>
    <w:p w14:paraId="4FC8EA41" w14:textId="77777777" w:rsidR="004E4DAB" w:rsidRDefault="004E4DAB" w:rsidP="004E4DAB"/>
    <w:p w14:paraId="69CF8E5C" w14:textId="2968778B" w:rsidR="004E4DAB" w:rsidRDefault="0026607D" w:rsidP="3590B097">
      <w:bookmarkStart w:id="0" w:name="_Hlk148697485"/>
      <w:r>
        <w:t>G</w:t>
      </w:r>
      <w:r w:rsidR="009A6969">
        <w:t>uidance</w:t>
      </w:r>
      <w:r w:rsidR="00F214E2">
        <w:t xml:space="preserve"> </w:t>
      </w:r>
      <w:r w:rsidR="624293FE">
        <w:t>includes country-based guidelines such as</w:t>
      </w:r>
      <w:r w:rsidR="6F784045">
        <w:t xml:space="preserve"> those from</w:t>
      </w:r>
      <w:r w:rsidR="624293FE">
        <w:t xml:space="preserve"> the </w:t>
      </w:r>
      <w:r w:rsidR="00F214E2">
        <w:t xml:space="preserve">U.S. </w:t>
      </w:r>
      <w:r w:rsidR="624293FE">
        <w:t>Food and Drug Administration (FDA) as well as</w:t>
      </w:r>
      <w:r w:rsidR="00F214E2">
        <w:t xml:space="preserve"> from</w:t>
      </w:r>
      <w:r w:rsidR="624293FE">
        <w:t xml:space="preserve"> voluntary accreditation groups like the Foundation for the Accreditation of Cellular Therapy (FACT)</w:t>
      </w:r>
      <w:r w:rsidR="22A74306">
        <w:t>,</w:t>
      </w:r>
      <w:r w:rsidR="624293FE">
        <w:t xml:space="preserve"> </w:t>
      </w:r>
      <w:r w:rsidR="1B3F2BFE">
        <w:t xml:space="preserve">the </w:t>
      </w:r>
      <w:r w:rsidR="624293FE">
        <w:t>Joint Accreditation Committee of the International Society of Cellular Therapy</w:t>
      </w:r>
      <w:r w:rsidR="4048845F">
        <w:t xml:space="preserve"> (JACIE)</w:t>
      </w:r>
      <w:r w:rsidR="602A833C">
        <w:t>,</w:t>
      </w:r>
      <w:r w:rsidR="624293FE">
        <w:t xml:space="preserve"> and </w:t>
      </w:r>
      <w:r w:rsidR="009A09DB">
        <w:t xml:space="preserve">EBMT (formerly known as </w:t>
      </w:r>
      <w:r w:rsidR="624293FE">
        <w:t>the European Society for Blood and Bone Marrow Transplantation</w:t>
      </w:r>
      <w:bookmarkEnd w:id="0"/>
      <w:r w:rsidR="00481145">
        <w:t>)</w:t>
      </w:r>
      <w:r w:rsidR="00197138">
        <w:t xml:space="preserve">. </w:t>
      </w:r>
      <w:r w:rsidR="624293FE">
        <w:t>Together</w:t>
      </w:r>
      <w:r w:rsidR="4B987CC0">
        <w:t>,</w:t>
      </w:r>
      <w:r w:rsidR="624293FE">
        <w:t xml:space="preserve"> these regulatory guidelines help establish effective standard operating procedures and quality management systems to enable safe and effective cellular collection, manufacturing, and infusion for donors and patients.</w:t>
      </w:r>
    </w:p>
    <w:p w14:paraId="5A955BF4" w14:textId="77777777" w:rsidR="004E4DAB" w:rsidRDefault="004E4DAB" w:rsidP="004E4DAB">
      <w:pPr>
        <w:rPr>
          <w:rFonts w:cstheme="minorHAnsi"/>
          <w:color w:val="000000" w:themeColor="text1"/>
        </w:rPr>
      </w:pPr>
    </w:p>
    <w:p w14:paraId="2EF57523" w14:textId="66267144" w:rsidR="004E4DAB" w:rsidRDefault="624293FE" w:rsidP="3590B097">
      <w:pPr>
        <w:rPr>
          <w:color w:val="000000" w:themeColor="text1"/>
        </w:rPr>
      </w:pPr>
      <w:r w:rsidRPr="77FB5134">
        <w:rPr>
          <w:color w:val="000000" w:themeColor="text2"/>
        </w:rPr>
        <w:lastRenderedPageBreak/>
        <w:t xml:space="preserve">The cell collection process requires the expertise of apheresis device operators, adequate access to the bloodstream, and specialized cell separator platforms, such as the Spectra Optia Apheresis System. </w:t>
      </w:r>
    </w:p>
    <w:p w14:paraId="199B7CDC" w14:textId="77777777" w:rsidR="004E4DAB" w:rsidRDefault="004E4DAB" w:rsidP="004E4DAB">
      <w:pPr>
        <w:rPr>
          <w:rFonts w:cstheme="minorHAnsi"/>
          <w:color w:val="000000" w:themeColor="text1"/>
        </w:rPr>
      </w:pPr>
    </w:p>
    <w:p w14:paraId="2CF7873E" w14:textId="4C47C544" w:rsidR="004E4DAB" w:rsidRDefault="004E4DAB" w:rsidP="004E4DAB">
      <w:pPr>
        <w:rPr>
          <w:rFonts w:cstheme="minorHAnsi"/>
          <w:color w:val="000000" w:themeColor="text1"/>
        </w:rPr>
      </w:pPr>
      <w:r>
        <w:rPr>
          <w:rFonts w:cstheme="minorHAnsi"/>
          <w:color w:val="000000" w:themeColor="text1"/>
        </w:rPr>
        <w:t>As the field continues to rapidly expand, the importance of data analytics and prediction algorithms becomes increasingly apparent. These tools become a bridge for more visibility into the apheresis process. Additionally, the utilization of data analytics and prediction algorithms helps to:</w:t>
      </w:r>
    </w:p>
    <w:p w14:paraId="2F0C2DDE" w14:textId="77777777" w:rsidR="004E4DAB" w:rsidRPr="004E4DAB" w:rsidRDefault="624293FE" w:rsidP="009A6969">
      <w:pPr>
        <w:pStyle w:val="ListParagraph"/>
        <w:numPr>
          <w:ilvl w:val="0"/>
          <w:numId w:val="27"/>
        </w:numPr>
        <w:spacing w:after="0" w:line="240" w:lineRule="auto"/>
        <w:ind w:right="373"/>
        <w:rPr>
          <w:rFonts w:ascii="Arial" w:hAnsi="Arial"/>
          <w:color w:val="000000" w:themeColor="text1"/>
        </w:rPr>
      </w:pPr>
      <w:r w:rsidRPr="3590B097">
        <w:rPr>
          <w:color w:val="000000" w:themeColor="text2"/>
        </w:rPr>
        <w:t xml:space="preserve">Identify methods for determining the optimal blood volume to </w:t>
      </w:r>
      <w:proofErr w:type="gramStart"/>
      <w:r w:rsidRPr="3590B097">
        <w:rPr>
          <w:color w:val="000000" w:themeColor="text2"/>
        </w:rPr>
        <w:t>process</w:t>
      </w:r>
      <w:proofErr w:type="gramEnd"/>
    </w:p>
    <w:p w14:paraId="0148570C" w14:textId="531C4866" w:rsidR="004E4DAB" w:rsidRPr="004E4DAB" w:rsidRDefault="00F214E2" w:rsidP="009A6969">
      <w:pPr>
        <w:pStyle w:val="ListParagraph"/>
        <w:numPr>
          <w:ilvl w:val="0"/>
          <w:numId w:val="27"/>
        </w:numPr>
        <w:spacing w:after="0" w:line="240" w:lineRule="auto"/>
        <w:ind w:right="1093"/>
        <w:rPr>
          <w:rFonts w:ascii="Arial" w:hAnsi="Arial"/>
          <w:color w:val="000000" w:themeColor="text1"/>
        </w:rPr>
      </w:pPr>
      <w:r>
        <w:rPr>
          <w:color w:val="000000" w:themeColor="text2"/>
        </w:rPr>
        <w:t>Op</w:t>
      </w:r>
      <w:r w:rsidR="624293FE" w:rsidRPr="3590B097">
        <w:rPr>
          <w:color w:val="000000" w:themeColor="text2"/>
        </w:rPr>
        <w:t>timiz</w:t>
      </w:r>
      <w:r>
        <w:rPr>
          <w:color w:val="000000" w:themeColor="text2"/>
        </w:rPr>
        <w:t>e</w:t>
      </w:r>
      <w:r w:rsidR="624293FE" w:rsidRPr="3590B097">
        <w:rPr>
          <w:color w:val="000000" w:themeColor="text2"/>
        </w:rPr>
        <w:t xml:space="preserve"> collection </w:t>
      </w:r>
      <w:proofErr w:type="gramStart"/>
      <w:r w:rsidR="624293FE" w:rsidRPr="3590B097">
        <w:rPr>
          <w:color w:val="000000" w:themeColor="text2"/>
        </w:rPr>
        <w:t>approaches</w:t>
      </w:r>
      <w:proofErr w:type="gramEnd"/>
      <w:r w:rsidR="624293FE" w:rsidRPr="3590B097">
        <w:rPr>
          <w:color w:val="000000" w:themeColor="text2"/>
        </w:rPr>
        <w:t xml:space="preserve"> </w:t>
      </w:r>
    </w:p>
    <w:p w14:paraId="4F402014" w14:textId="7F124D10" w:rsidR="004E4DAB" w:rsidRPr="004E4DAB" w:rsidRDefault="624293FE" w:rsidP="009A6969">
      <w:pPr>
        <w:pStyle w:val="ListParagraph"/>
        <w:numPr>
          <w:ilvl w:val="0"/>
          <w:numId w:val="27"/>
        </w:numPr>
        <w:spacing w:after="0" w:line="240" w:lineRule="auto"/>
        <w:ind w:right="823"/>
        <w:rPr>
          <w:rFonts w:ascii="Arial" w:hAnsi="Arial"/>
          <w:color w:val="000000" w:themeColor="text1"/>
        </w:rPr>
      </w:pPr>
      <w:r w:rsidRPr="3590B097">
        <w:rPr>
          <w:color w:val="000000" w:themeColor="text2"/>
        </w:rPr>
        <w:t xml:space="preserve">Improve performance across multiple sites for process </w:t>
      </w:r>
      <w:proofErr w:type="gramStart"/>
      <w:r w:rsidRPr="3590B097">
        <w:rPr>
          <w:color w:val="000000" w:themeColor="text2"/>
        </w:rPr>
        <w:t>efficiency</w:t>
      </w:r>
      <w:proofErr w:type="gramEnd"/>
    </w:p>
    <w:p w14:paraId="3DE49CB5" w14:textId="4CA478A9" w:rsidR="004E4DAB" w:rsidRPr="00333548" w:rsidRDefault="624293FE" w:rsidP="009A6969">
      <w:pPr>
        <w:pStyle w:val="ListParagraph"/>
        <w:numPr>
          <w:ilvl w:val="0"/>
          <w:numId w:val="27"/>
        </w:numPr>
        <w:spacing w:after="0" w:line="240" w:lineRule="auto"/>
        <w:ind w:right="913"/>
        <w:rPr>
          <w:rFonts w:ascii="Arial" w:hAnsi="Arial"/>
          <w:color w:val="000000" w:themeColor="text2"/>
        </w:rPr>
      </w:pPr>
      <w:r w:rsidRPr="3590B097">
        <w:rPr>
          <w:color w:val="000000" w:themeColor="text2"/>
        </w:rPr>
        <w:t xml:space="preserve">Increase the quality and yield of starting </w:t>
      </w:r>
      <w:proofErr w:type="gramStart"/>
      <w:r w:rsidRPr="3590B097">
        <w:rPr>
          <w:color w:val="000000" w:themeColor="text2"/>
        </w:rPr>
        <w:t>material</w:t>
      </w:r>
      <w:proofErr w:type="gramEnd"/>
    </w:p>
    <w:p w14:paraId="19F5F6AE" w14:textId="77777777" w:rsidR="00481145" w:rsidRPr="00E939BA" w:rsidRDefault="00481145" w:rsidP="00481145">
      <w:pPr>
        <w:pStyle w:val="SectionHeader"/>
        <w:spacing w:before="360"/>
        <w:ind w:right="-7"/>
      </w:pPr>
      <w:r>
        <w:t>Significance of High-Quality Starting Material</w:t>
      </w:r>
    </w:p>
    <w:p w14:paraId="0C0523DE" w14:textId="5F1C9D74" w:rsidR="00481145" w:rsidRPr="0069653E" w:rsidRDefault="00481145" w:rsidP="00481145">
      <w:r>
        <w:t>Cell collection by apheresis is one of the critical first steps of the cell therapy manufacturing cycle. Approximately 80% of engineered cell therapy clinical trials involve the collection of cells through apheresis.</w:t>
      </w:r>
      <w:r w:rsidR="00025707">
        <w:rPr>
          <w:vertAlign w:val="superscript"/>
        </w:rPr>
        <w:t>2</w:t>
      </w:r>
      <w:r w:rsidRPr="3590B097">
        <w:rPr>
          <w:vertAlign w:val="superscript"/>
        </w:rPr>
        <w:t>,</w:t>
      </w:r>
      <w:r w:rsidR="00025707">
        <w:rPr>
          <w:vertAlign w:val="superscript"/>
        </w:rPr>
        <w:t>3</w:t>
      </w:r>
      <w:r>
        <w:t xml:space="preserve"> Therefore, the need for high-quality starting material is important to the downstream success of manufactured cell therapies, because the number of healthy cells in leukapheresis-derived starting material directly impacts the efficacy of the final product.</w:t>
      </w:r>
      <w:r w:rsidR="00025707">
        <w:rPr>
          <w:vertAlign w:val="superscript"/>
        </w:rPr>
        <w:t>4</w:t>
      </w:r>
      <w:r>
        <w:t xml:space="preserve"> </w:t>
      </w:r>
    </w:p>
    <w:p w14:paraId="3C3DA708" w14:textId="77777777" w:rsidR="00481145" w:rsidRPr="0069653E" w:rsidRDefault="00481145" w:rsidP="00481145"/>
    <w:p w14:paraId="243DBE44" w14:textId="77777777" w:rsidR="00481145" w:rsidRPr="0069653E" w:rsidRDefault="00481145" w:rsidP="00481145">
      <w:r>
        <w:t>There are many factors that influence the quality of the collected products being used as the starting materials for cell therapy manufacturing: variability due to the patient or donor, operation of the apheresis collection itself, and post-collection processing and storage of the collected cells.</w:t>
      </w:r>
    </w:p>
    <w:p w14:paraId="6FB900CE" w14:textId="77777777" w:rsidR="00481145" w:rsidRDefault="00481145" w:rsidP="00481145"/>
    <w:p w14:paraId="2760D154" w14:textId="77777777" w:rsidR="00481145" w:rsidRDefault="00481145" w:rsidP="00481145">
      <w:r>
        <w:t>The variability of cells collected is influenced by several factors, including:</w:t>
      </w:r>
    </w:p>
    <w:p w14:paraId="484B4BF9" w14:textId="77777777" w:rsidR="00481145" w:rsidRDefault="00481145" w:rsidP="00481145">
      <w:pPr>
        <w:pStyle w:val="ListParagraph"/>
        <w:numPr>
          <w:ilvl w:val="0"/>
          <w:numId w:val="3"/>
        </w:numPr>
        <w:rPr>
          <w:rFonts w:ascii="Arial" w:hAnsi="Arial"/>
        </w:rPr>
      </w:pPr>
      <w:r>
        <w:t xml:space="preserve">Unique patient characteristics </w:t>
      </w:r>
    </w:p>
    <w:p w14:paraId="0BAE5BBD" w14:textId="77777777" w:rsidR="00481145" w:rsidRDefault="00481145" w:rsidP="00481145">
      <w:pPr>
        <w:pStyle w:val="ListParagraph"/>
        <w:numPr>
          <w:ilvl w:val="0"/>
          <w:numId w:val="3"/>
        </w:numPr>
        <w:rPr>
          <w:rFonts w:ascii="Arial" w:hAnsi="Arial"/>
        </w:rPr>
      </w:pPr>
      <w:r>
        <w:t xml:space="preserve">The expertise of the operator conducting the collection </w:t>
      </w:r>
    </w:p>
    <w:p w14:paraId="3B0211B1" w14:textId="77777777" w:rsidR="00481145" w:rsidRDefault="00481145" w:rsidP="00481145">
      <w:pPr>
        <w:pStyle w:val="ListParagraph"/>
        <w:numPr>
          <w:ilvl w:val="0"/>
          <w:numId w:val="3"/>
        </w:numPr>
        <w:rPr>
          <w:rFonts w:ascii="Arial" w:hAnsi="Arial"/>
        </w:rPr>
      </w:pPr>
      <w:r>
        <w:t xml:space="preserve">The specific protocols used by each collection </w:t>
      </w:r>
      <w:proofErr w:type="gramStart"/>
      <w:r>
        <w:t>site</w:t>
      </w:r>
      <w:proofErr w:type="gramEnd"/>
    </w:p>
    <w:p w14:paraId="596D7756" w14:textId="77777777" w:rsidR="00481145" w:rsidRDefault="00481145" w:rsidP="00481145"/>
    <w:p w14:paraId="5787F562" w14:textId="6BD4300B" w:rsidR="00481145" w:rsidRPr="00B93FFD" w:rsidRDefault="00481145" w:rsidP="77FB5134">
      <w:pPr>
        <w:rPr>
          <w:vertAlign w:val="superscript"/>
        </w:rPr>
      </w:pPr>
      <w:r>
        <w:t>These differences influence the contents and quality of the starting materials in terms of target cell yield and viability, product volume, and product purity, determined by the number of contaminating cells contained within each product.</w:t>
      </w:r>
      <w:r w:rsidR="42F04678" w:rsidRPr="77FB5134">
        <w:rPr>
          <w:vertAlign w:val="superscript"/>
        </w:rPr>
        <w:t>5</w:t>
      </w:r>
      <w:r>
        <w:t xml:space="preserve"> If any of these variables do not meet ideal parameters, the downstream manufacturing processes may be impacted, and this increases the chances of having insufficient cells for the recommended treatment dosage.</w:t>
      </w:r>
      <w:r w:rsidR="00C83202" w:rsidRPr="77FB5134">
        <w:rPr>
          <w:vertAlign w:val="superscript"/>
        </w:rPr>
        <w:t>4</w:t>
      </w:r>
    </w:p>
    <w:p w14:paraId="15DD93F6" w14:textId="77777777" w:rsidR="00481145" w:rsidRPr="0069653E" w:rsidRDefault="00481145" w:rsidP="00481145"/>
    <w:p w14:paraId="7081F24C" w14:textId="34369135" w:rsidR="00481145" w:rsidRDefault="00481145" w:rsidP="00481145">
      <w:r>
        <w:t>Different centers may follow their own protocols, potentially affecting the quality of starting materials. Achieving consistency</w:t>
      </w:r>
      <w:r w:rsidR="00033BAB">
        <w:t xml:space="preserve"> across all sites and operators</w:t>
      </w:r>
      <w:r>
        <w:t xml:space="preserve"> is essential for effective therapeutic and manufacturing processes to support expansion and enable accessibility of cell-based therapies. </w:t>
      </w:r>
    </w:p>
    <w:p w14:paraId="443934B6" w14:textId="77777777" w:rsidR="00481145" w:rsidRPr="00FA1C6C" w:rsidRDefault="00481145" w:rsidP="00481145">
      <w:r>
        <w:t>Thus, consistency allows us to maximize the number of patients who benefit from these therapies.</w:t>
      </w:r>
    </w:p>
    <w:p w14:paraId="718B7542" w14:textId="4D95BC86" w:rsidR="004E4DAB" w:rsidRDefault="004E4DAB" w:rsidP="004E4DAB">
      <w:pPr>
        <w:pStyle w:val="SectionHeader"/>
        <w:spacing w:before="360"/>
        <w:ind w:right="-7"/>
      </w:pPr>
      <w:r>
        <w:t>Conclusion</w:t>
      </w:r>
    </w:p>
    <w:p w14:paraId="3911D6E5" w14:textId="221CA556" w:rsidR="004E4DAB" w:rsidRDefault="624293FE" w:rsidP="004E4DAB">
      <w:r>
        <w:t>CAR</w:t>
      </w:r>
      <w:r w:rsidR="00F214E2">
        <w:t xml:space="preserve"> </w:t>
      </w:r>
      <w:r>
        <w:t>T</w:t>
      </w:r>
      <w:r w:rsidR="2636D96B">
        <w:t>-</w:t>
      </w:r>
      <w:r>
        <w:t>cell treatments and HSCT rely heavily on the quality of starting materials derived from cell collections. Understanding and addressing the intricacies of T-cell collection, such as optimizing the collection process, can directly impact manufacturing outcomes and, ultimately, patient outcomes.</w:t>
      </w:r>
    </w:p>
    <w:p w14:paraId="1E63D4E1" w14:textId="3FFF9E6C" w:rsidR="004E4DAB" w:rsidRPr="00532911" w:rsidRDefault="624293FE" w:rsidP="004E4DAB">
      <w:pPr>
        <w:pStyle w:val="SectionHeader"/>
        <w:spacing w:before="360"/>
        <w:ind w:right="-7"/>
        <w:rPr>
          <w:b w:val="0"/>
          <w:bCs w:val="0"/>
        </w:rPr>
      </w:pPr>
      <w:r>
        <w:rPr>
          <w:b w:val="0"/>
          <w:bCs w:val="0"/>
        </w:rPr>
        <w:t>Key Takeaways</w:t>
      </w:r>
    </w:p>
    <w:p w14:paraId="51A453BE" w14:textId="2D7C7BC9" w:rsidR="00530BD4" w:rsidRDefault="00530BD4" w:rsidP="009A6969">
      <w:pPr>
        <w:numPr>
          <w:ilvl w:val="0"/>
          <w:numId w:val="28"/>
        </w:numPr>
        <w:spacing w:after="0" w:line="240" w:lineRule="auto"/>
        <w:ind w:right="373"/>
      </w:pPr>
      <w:r w:rsidRPr="00530BD4">
        <w:t xml:space="preserve">Leukapheresis collection of lymphocytes is becoming more of a common </w:t>
      </w:r>
      <w:r w:rsidR="00360C76">
        <w:t>practice.</w:t>
      </w:r>
    </w:p>
    <w:p w14:paraId="3A681426" w14:textId="150BD02C" w:rsidR="00360C76" w:rsidRDefault="009E2E51" w:rsidP="009A6969">
      <w:pPr>
        <w:numPr>
          <w:ilvl w:val="0"/>
          <w:numId w:val="28"/>
        </w:numPr>
        <w:spacing w:after="0" w:line="240" w:lineRule="auto"/>
        <w:ind w:right="373"/>
      </w:pPr>
      <w:r w:rsidRPr="009E2E51">
        <w:t>PBSCs are vital for autologous and allogeneic HSCT</w:t>
      </w:r>
      <w:r w:rsidR="008B5BFF">
        <w:t>.</w:t>
      </w:r>
    </w:p>
    <w:p w14:paraId="328A79B8" w14:textId="4643F6E1" w:rsidR="009E2E51" w:rsidRDefault="009E2E51" w:rsidP="009A6969">
      <w:pPr>
        <w:numPr>
          <w:ilvl w:val="0"/>
          <w:numId w:val="28"/>
        </w:numPr>
        <w:spacing w:after="0" w:line="240" w:lineRule="auto"/>
        <w:ind w:right="373"/>
      </w:pPr>
      <w:r>
        <w:t>High T</w:t>
      </w:r>
      <w:r w:rsidR="5D2C32A8">
        <w:t>-</w:t>
      </w:r>
      <w:r>
        <w:t>cell collection yields are critical to CAR T-cell therapy manufacturing</w:t>
      </w:r>
      <w:r w:rsidR="008B5BFF">
        <w:t>.</w:t>
      </w:r>
    </w:p>
    <w:p w14:paraId="2951742A" w14:textId="5DAF8B93" w:rsidR="004E4DAB" w:rsidRPr="00A65FE8" w:rsidRDefault="004E4DAB" w:rsidP="009A6969">
      <w:pPr>
        <w:numPr>
          <w:ilvl w:val="0"/>
          <w:numId w:val="28"/>
        </w:numPr>
        <w:spacing w:after="0" w:line="240" w:lineRule="auto"/>
        <w:ind w:right="373"/>
      </w:pPr>
      <w:r>
        <w:t xml:space="preserve">The collection of quality starting materials is a crucial phase in cell-based therapies, with patient outcomes reliant on its success. </w:t>
      </w:r>
    </w:p>
    <w:p w14:paraId="34E23804" w14:textId="6F949997" w:rsidR="004E4DAB" w:rsidRPr="00A65FE8" w:rsidRDefault="004E4DAB" w:rsidP="009A6969">
      <w:pPr>
        <w:numPr>
          <w:ilvl w:val="0"/>
          <w:numId w:val="28"/>
        </w:numPr>
        <w:spacing w:after="0" w:line="240" w:lineRule="auto"/>
        <w:ind w:right="373"/>
      </w:pPr>
      <w:r w:rsidRPr="00A65FE8">
        <w:t>Leveraging data analytics and algorithms can help optimize and bring consistency</w:t>
      </w:r>
      <w:r w:rsidR="009A6969">
        <w:t xml:space="preserve"> and quality</w:t>
      </w:r>
      <w:r w:rsidRPr="00A65FE8">
        <w:t xml:space="preserve"> to the cell collection process.</w:t>
      </w:r>
    </w:p>
    <w:p w14:paraId="658BB33D" w14:textId="77777777" w:rsidR="004E4DAB" w:rsidRPr="00A65FE8" w:rsidRDefault="004E4DAB" w:rsidP="009A6969">
      <w:pPr>
        <w:numPr>
          <w:ilvl w:val="0"/>
          <w:numId w:val="28"/>
        </w:numPr>
        <w:spacing w:after="0" w:line="240" w:lineRule="auto"/>
        <w:ind w:right="1003"/>
      </w:pPr>
      <w:r w:rsidRPr="00A65FE8">
        <w:t xml:space="preserve">Addressing the complexities of cell collection directly influences patient outcomes and the advancement of life-saving therapies. </w:t>
      </w:r>
    </w:p>
    <w:p w14:paraId="56C70979" w14:textId="77777777" w:rsidR="00A53E88" w:rsidRDefault="00A53E88" w:rsidP="3590B097"/>
    <w:p w14:paraId="72415967" w14:textId="77777777" w:rsidR="00430FF1" w:rsidRDefault="00430FF1" w:rsidP="3590B097"/>
    <w:p w14:paraId="2357C2DC" w14:textId="248D3EAB" w:rsidR="004E4DAB" w:rsidRDefault="00430FF1" w:rsidP="3590B097">
      <w:r>
        <w:rPr>
          <w:noProof/>
        </w:rPr>
        <w:lastRenderedPageBreak/>
        <mc:AlternateContent>
          <mc:Choice Requires="wps">
            <w:drawing>
              <wp:anchor distT="0" distB="0" distL="114300" distR="114300" simplePos="0" relativeHeight="251665408" behindDoc="1" locked="0" layoutInCell="1" allowOverlap="1" wp14:anchorId="76DE4C0A" wp14:editId="5F50A10E">
                <wp:simplePos x="0" y="0"/>
                <wp:positionH relativeFrom="column">
                  <wp:posOffset>2851150</wp:posOffset>
                </wp:positionH>
                <wp:positionV relativeFrom="paragraph">
                  <wp:posOffset>8890</wp:posOffset>
                </wp:positionV>
                <wp:extent cx="4014470" cy="2121535"/>
                <wp:effectExtent l="0" t="0" r="5080" b="0"/>
                <wp:wrapTight wrapText="bothSides">
                  <wp:wrapPolygon edited="0">
                    <wp:start x="0" y="0"/>
                    <wp:lineTo x="0" y="21335"/>
                    <wp:lineTo x="21525" y="21335"/>
                    <wp:lineTo x="21525" y="0"/>
                    <wp:lineTo x="0" y="0"/>
                  </wp:wrapPolygon>
                </wp:wrapTight>
                <wp:docPr id="514795403" name="Text Box 817884832"/>
                <wp:cNvGraphicFramePr/>
                <a:graphic xmlns:a="http://schemas.openxmlformats.org/drawingml/2006/main">
                  <a:graphicData uri="http://schemas.microsoft.com/office/word/2010/wordprocessingShape">
                    <wps:wsp>
                      <wps:cNvSpPr txBox="1"/>
                      <wps:spPr>
                        <a:xfrm>
                          <a:off x="0" y="0"/>
                          <a:ext cx="4014470" cy="2121535"/>
                        </a:xfrm>
                        <a:prstGeom prst="rect">
                          <a:avLst/>
                        </a:prstGeom>
                        <a:solidFill>
                          <a:schemeClr val="accent2"/>
                        </a:solidFill>
                        <a:ln w="6350">
                          <a:noFill/>
                        </a:ln>
                      </wps:spPr>
                      <wps:txbx>
                        <w:txbxContent>
                          <w:p w14:paraId="45D628C6" w14:textId="77777777" w:rsidR="00430FF1" w:rsidRPr="00DA6EAA" w:rsidRDefault="00430FF1" w:rsidP="00430FF1">
                            <w:pPr>
                              <w:ind w:right="831"/>
                              <w:rPr>
                                <w:b/>
                                <w:bCs/>
                                <w:color w:val="FFFFFF" w:themeColor="background1"/>
                                <w:sz w:val="28"/>
                                <w:szCs w:val="28"/>
                              </w:rPr>
                            </w:pPr>
                            <w:r w:rsidRPr="00DA6EAA">
                              <w:rPr>
                                <w:b/>
                                <w:bCs/>
                                <w:color w:val="FFFFFF" w:themeColor="background1"/>
                                <w:sz w:val="28"/>
                                <w:szCs w:val="28"/>
                              </w:rPr>
                              <w:t>Next white paper:</w:t>
                            </w:r>
                          </w:p>
                          <w:p w14:paraId="43E71A49" w14:textId="77777777" w:rsidR="00430FF1" w:rsidRPr="00103D2E" w:rsidRDefault="00430FF1" w:rsidP="00430FF1">
                            <w:pPr>
                              <w:ind w:right="831"/>
                              <w:rPr>
                                <w:color w:val="FFFFFF" w:themeColor="background1"/>
                              </w:rPr>
                            </w:pPr>
                            <w:r w:rsidRPr="00103D2E">
                              <w:rPr>
                                <w:color w:val="FFFFFF" w:themeColor="background1"/>
                              </w:rPr>
                              <w:t>Cell Collection Basics — Understanding Cell Collection Methods, Challenges, and Solutions for the Transplant and Cell and Gene Therapy Industries</w:t>
                            </w:r>
                          </w:p>
                          <w:p w14:paraId="13E831A6" w14:textId="77777777" w:rsidR="00430FF1" w:rsidRDefault="00430FF1" w:rsidP="00430FF1">
                            <w:pPr>
                              <w:ind w:right="831"/>
                              <w:rPr>
                                <w:color w:val="FFFFFF" w:themeColor="background1"/>
                              </w:rPr>
                            </w:pPr>
                          </w:p>
                          <w:p w14:paraId="4DC55996" w14:textId="77777777" w:rsidR="00430FF1" w:rsidRPr="00103D2E" w:rsidRDefault="00430FF1" w:rsidP="00430FF1">
                            <w:pPr>
                              <w:ind w:right="831"/>
                              <w:rPr>
                                <w:b/>
                                <w:bCs/>
                                <w:color w:val="FFFFFF" w:themeColor="background1"/>
                              </w:rPr>
                            </w:pPr>
                            <w:r w:rsidRPr="00103D2E">
                              <w:rPr>
                                <w:b/>
                                <w:bCs/>
                                <w:color w:val="FFFFFF" w:themeColor="background1"/>
                              </w:rPr>
                              <w:t>Request your copy of our next white paper:</w:t>
                            </w:r>
                          </w:p>
                          <w:p w14:paraId="270AB6BF" w14:textId="054581E0" w:rsidR="00430FF1" w:rsidRPr="00DA6EAA" w:rsidRDefault="00A02958" w:rsidP="00430FF1">
                            <w:pPr>
                              <w:ind w:right="831"/>
                              <w:rPr>
                                <w:color w:val="FFFFFF" w:themeColor="background1"/>
                              </w:rPr>
                            </w:pPr>
                            <w:hyperlink r:id="rId12" w:history="1">
                              <w:r w:rsidR="00430FF1">
                                <w:rPr>
                                  <w:color w:val="FFFFFF" w:themeColor="background1"/>
                                </w:rPr>
                                <w:t>R</w:t>
                              </w:r>
                              <w:r w:rsidR="00430FF1" w:rsidRPr="00DA6EAA">
                                <w:rPr>
                                  <w:color w:val="FFFFFF" w:themeColor="background1"/>
                                </w:rPr>
                                <w:t>each.</w:t>
                              </w:r>
                              <w:r w:rsidR="00430FF1">
                                <w:rPr>
                                  <w:color w:val="FFFFFF" w:themeColor="background1"/>
                                </w:rPr>
                                <w:t>T</w:t>
                              </w:r>
                              <w:r w:rsidR="00430FF1" w:rsidRPr="00DA6EAA">
                                <w:rPr>
                                  <w:color w:val="FFFFFF" w:themeColor="background1"/>
                                </w:rPr>
                                <w:t>erumo-</w:t>
                              </w:r>
                              <w:r w:rsidR="00430FF1">
                                <w:rPr>
                                  <w:color w:val="FFFFFF" w:themeColor="background1"/>
                                </w:rPr>
                                <w:t>BCT</w:t>
                              </w:r>
                              <w:r w:rsidR="00430FF1" w:rsidRPr="00DA6EAA">
                                <w:rPr>
                                  <w:color w:val="FFFFFF" w:themeColor="background1"/>
                                </w:rPr>
                                <w:t>.com/</w:t>
                              </w:r>
                              <w:r w:rsidR="00430FF1">
                                <w:rPr>
                                  <w:color w:val="FFFFFF" w:themeColor="background1"/>
                                </w:rPr>
                                <w:t>S</w:t>
                              </w:r>
                              <w:r w:rsidR="00430FF1" w:rsidRPr="00DA6EAA">
                                <w:rPr>
                                  <w:color w:val="FFFFFF" w:themeColor="background1"/>
                                </w:rPr>
                                <w:t>ign-</w:t>
                              </w:r>
                              <w:r w:rsidR="00430FF1">
                                <w:rPr>
                                  <w:color w:val="FFFFFF" w:themeColor="background1"/>
                                </w:rPr>
                                <w:t>U</w:t>
                              </w:r>
                              <w:r w:rsidR="00430FF1" w:rsidRPr="00DA6EAA">
                                <w:rPr>
                                  <w:color w:val="FFFFFF" w:themeColor="background1"/>
                                </w:rPr>
                                <w:t>p-</w:t>
                              </w:r>
                              <w:r w:rsidR="00430FF1">
                                <w:rPr>
                                  <w:color w:val="FFFFFF" w:themeColor="background1"/>
                                </w:rPr>
                                <w:t>F</w:t>
                              </w:r>
                              <w:r w:rsidR="00430FF1" w:rsidRPr="00DA6EAA">
                                <w:rPr>
                                  <w:color w:val="FFFFFF" w:themeColor="background1"/>
                                </w:rPr>
                                <w:t>or-</w:t>
                              </w:r>
                              <w:r w:rsidR="00430FF1">
                                <w:rPr>
                                  <w:color w:val="FFFFFF" w:themeColor="background1"/>
                                </w:rPr>
                                <w:t>W</w:t>
                              </w:r>
                              <w:r w:rsidR="00430FF1" w:rsidRPr="00DA6EAA">
                                <w:rPr>
                                  <w:color w:val="FFFFFF" w:themeColor="background1"/>
                                </w:rPr>
                                <w:t>hite-</w:t>
                              </w:r>
                              <w:r w:rsidR="00430FF1">
                                <w:rPr>
                                  <w:color w:val="FFFFFF" w:themeColor="background1"/>
                                </w:rPr>
                                <w:t>P</w:t>
                              </w:r>
                              <w:r w:rsidR="00430FF1" w:rsidRPr="00DA6EAA">
                                <w:rPr>
                                  <w:color w:val="FFFFFF" w:themeColor="background1"/>
                                </w:rPr>
                                <w:t>aper</w:t>
                              </w:r>
                            </w:hyperlink>
                            <w:r w:rsidR="00430FF1" w:rsidRPr="00DA6EAA">
                              <w:rPr>
                                <w:color w:val="FFFFFF" w:themeColor="background1"/>
                              </w:rPr>
                              <w:t xml:space="preserve">  </w:t>
                            </w:r>
                          </w:p>
                        </w:txbxContent>
                      </wps:txbx>
                      <wps:bodyPr rot="0" spcFirstLastPara="0" vertOverflow="overflow" horzOverflow="overflow" vert="horz" wrap="square" lIns="91440" tIns="180000" rIns="91440" bIns="180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DE4C0A" id="Text Box 817884832" o:spid="_x0000_s1027" type="#_x0000_t202" style="position:absolute;margin-left:224.5pt;margin-top:.7pt;width:316.1pt;height:167.0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" fillcolor="#008d61 [3205]" stroked="f" strokeweight=".5pt">
                <v:textbox inset=",5mm,,5mm">
                  <w:txbxContent>
                    <w:p w14:paraId="45D628C6" w14:textId="77777777" w:rsidR="00430FF1" w:rsidRPr="00DA6EAA" w:rsidRDefault="00430FF1" w:rsidP="00430FF1">
                      <w:pPr>
                        <w:ind w:right="831"/>
                        <w:rPr>
                          <w:b/>
                          <w:bCs/>
                          <w:color w:val="FFFFFF" w:themeColor="background1"/>
                          <w:sz w:val="28"/>
                          <w:szCs w:val="28"/>
                        </w:rPr>
                      </w:pPr>
                      <w:r w:rsidRPr="00DA6EAA">
                        <w:rPr>
                          <w:b/>
                          <w:bCs/>
                          <w:color w:val="FFFFFF" w:themeColor="background1"/>
                          <w:sz w:val="28"/>
                          <w:szCs w:val="28"/>
                        </w:rPr>
                        <w:t>Next white paper:</w:t>
                      </w:r>
                    </w:p>
                    <w:p w14:paraId="43E71A49" w14:textId="77777777" w:rsidR="00430FF1" w:rsidRPr="00103D2E" w:rsidRDefault="00430FF1" w:rsidP="00430FF1">
                      <w:pPr>
                        <w:ind w:right="831"/>
                        <w:rPr>
                          <w:color w:val="FFFFFF" w:themeColor="background1"/>
                        </w:rPr>
                      </w:pPr>
                      <w:r w:rsidRPr="00103D2E">
                        <w:rPr>
                          <w:color w:val="FFFFFF" w:themeColor="background1"/>
                        </w:rPr>
                        <w:t>Cell Collection Basics — Understanding Cell Collection Methods, Challenges, and Solutions for the Transplant and Cell and Gene Therapy Industries</w:t>
                      </w:r>
                    </w:p>
                    <w:p w14:paraId="13E831A6" w14:textId="77777777" w:rsidR="00430FF1" w:rsidRDefault="00430FF1" w:rsidP="00430FF1">
                      <w:pPr>
                        <w:ind w:right="831"/>
                        <w:rPr>
                          <w:color w:val="FFFFFF" w:themeColor="background1"/>
                        </w:rPr>
                      </w:pPr>
                    </w:p>
                    <w:p w14:paraId="4DC55996" w14:textId="77777777" w:rsidR="00430FF1" w:rsidRPr="00103D2E" w:rsidRDefault="00430FF1" w:rsidP="00430FF1">
                      <w:pPr>
                        <w:ind w:right="831"/>
                        <w:rPr>
                          <w:b/>
                          <w:bCs/>
                          <w:color w:val="FFFFFF" w:themeColor="background1"/>
                        </w:rPr>
                      </w:pPr>
                      <w:r w:rsidRPr="00103D2E">
                        <w:rPr>
                          <w:b/>
                          <w:bCs/>
                          <w:color w:val="FFFFFF" w:themeColor="background1"/>
                        </w:rPr>
                        <w:t>Request your copy of our next white paper:</w:t>
                      </w:r>
                    </w:p>
                    <w:p w14:paraId="270AB6BF" w14:textId="054581E0" w:rsidR="00430FF1" w:rsidRPr="00DA6EAA" w:rsidRDefault="00A02958" w:rsidP="00430FF1">
                      <w:pPr>
                        <w:ind w:right="831"/>
                        <w:rPr>
                          <w:color w:val="FFFFFF" w:themeColor="background1"/>
                        </w:rPr>
                      </w:pPr>
                      <w:hyperlink r:id="rId13" w:history="1">
                        <w:r w:rsidR="00430FF1">
                          <w:rPr>
                            <w:color w:val="FFFFFF" w:themeColor="background1"/>
                          </w:rPr>
                          <w:t>R</w:t>
                        </w:r>
                        <w:r w:rsidR="00430FF1" w:rsidRPr="00DA6EAA">
                          <w:rPr>
                            <w:color w:val="FFFFFF" w:themeColor="background1"/>
                          </w:rPr>
                          <w:t>each.</w:t>
                        </w:r>
                        <w:r w:rsidR="00430FF1">
                          <w:rPr>
                            <w:color w:val="FFFFFF" w:themeColor="background1"/>
                          </w:rPr>
                          <w:t>T</w:t>
                        </w:r>
                        <w:r w:rsidR="00430FF1" w:rsidRPr="00DA6EAA">
                          <w:rPr>
                            <w:color w:val="FFFFFF" w:themeColor="background1"/>
                          </w:rPr>
                          <w:t>erumo-</w:t>
                        </w:r>
                        <w:r w:rsidR="00430FF1">
                          <w:rPr>
                            <w:color w:val="FFFFFF" w:themeColor="background1"/>
                          </w:rPr>
                          <w:t>BCT</w:t>
                        </w:r>
                        <w:r w:rsidR="00430FF1" w:rsidRPr="00DA6EAA">
                          <w:rPr>
                            <w:color w:val="FFFFFF" w:themeColor="background1"/>
                          </w:rPr>
                          <w:t>.com/</w:t>
                        </w:r>
                        <w:r w:rsidR="00430FF1">
                          <w:rPr>
                            <w:color w:val="FFFFFF" w:themeColor="background1"/>
                          </w:rPr>
                          <w:t>S</w:t>
                        </w:r>
                        <w:r w:rsidR="00430FF1" w:rsidRPr="00DA6EAA">
                          <w:rPr>
                            <w:color w:val="FFFFFF" w:themeColor="background1"/>
                          </w:rPr>
                          <w:t>ign-</w:t>
                        </w:r>
                        <w:r w:rsidR="00430FF1">
                          <w:rPr>
                            <w:color w:val="FFFFFF" w:themeColor="background1"/>
                          </w:rPr>
                          <w:t>U</w:t>
                        </w:r>
                        <w:r w:rsidR="00430FF1" w:rsidRPr="00DA6EAA">
                          <w:rPr>
                            <w:color w:val="FFFFFF" w:themeColor="background1"/>
                          </w:rPr>
                          <w:t>p-</w:t>
                        </w:r>
                        <w:r w:rsidR="00430FF1">
                          <w:rPr>
                            <w:color w:val="FFFFFF" w:themeColor="background1"/>
                          </w:rPr>
                          <w:t>F</w:t>
                        </w:r>
                        <w:r w:rsidR="00430FF1" w:rsidRPr="00DA6EAA">
                          <w:rPr>
                            <w:color w:val="FFFFFF" w:themeColor="background1"/>
                          </w:rPr>
                          <w:t>or-</w:t>
                        </w:r>
                        <w:r w:rsidR="00430FF1">
                          <w:rPr>
                            <w:color w:val="FFFFFF" w:themeColor="background1"/>
                          </w:rPr>
                          <w:t>W</w:t>
                        </w:r>
                        <w:r w:rsidR="00430FF1" w:rsidRPr="00DA6EAA">
                          <w:rPr>
                            <w:color w:val="FFFFFF" w:themeColor="background1"/>
                          </w:rPr>
                          <w:t>hite-</w:t>
                        </w:r>
                        <w:r w:rsidR="00430FF1">
                          <w:rPr>
                            <w:color w:val="FFFFFF" w:themeColor="background1"/>
                          </w:rPr>
                          <w:t>P</w:t>
                        </w:r>
                        <w:r w:rsidR="00430FF1" w:rsidRPr="00DA6EAA">
                          <w:rPr>
                            <w:color w:val="FFFFFF" w:themeColor="background1"/>
                          </w:rPr>
                          <w:t>aper</w:t>
                        </w:r>
                      </w:hyperlink>
                      <w:r w:rsidR="00430FF1" w:rsidRPr="00DA6EAA">
                        <w:rPr>
                          <w:color w:val="FFFFFF" w:themeColor="background1"/>
                        </w:rPr>
                        <w:t xml:space="preserve">  </w:t>
                      </w:r>
                    </w:p>
                  </w:txbxContent>
                </v:textbox>
                <w10:wrap type="tight"/>
              </v:shape>
            </w:pict>
          </mc:Fallback>
        </mc:AlternateContent>
      </w:r>
      <w:r w:rsidR="624293FE">
        <w:t xml:space="preserve">While the pace of advancements in collection techniques may vary, the urgency to overcome cell collection-related challenges remains constant. That’s why it’s important to keep exploring and understanding cell collections </w:t>
      </w:r>
      <w:r w:rsidR="495B7C9C">
        <w:t>—</w:t>
      </w:r>
      <w:r w:rsidR="624293FE">
        <w:t xml:space="preserve"> the methods, requirements, challenges, and existing solutions.</w:t>
      </w:r>
    </w:p>
    <w:p w14:paraId="5E350DA9" w14:textId="5B8FC305" w:rsidR="00A70539" w:rsidRDefault="00A70539" w:rsidP="00FC6985">
      <w:pPr>
        <w:ind w:left="-90"/>
        <w:rPr>
          <w:b/>
          <w:bCs/>
          <w:color w:val="008D61" w:themeColor="accent2"/>
        </w:rPr>
      </w:pPr>
    </w:p>
    <w:p w14:paraId="7A8B9ED1" w14:textId="091F6DDA" w:rsidR="00A70539" w:rsidRDefault="00A70539" w:rsidP="77FB5134">
      <w:pPr>
        <w:ind w:left="-90"/>
      </w:pPr>
    </w:p>
    <w:p w14:paraId="38E7DAFA" w14:textId="15697436" w:rsidR="00A70539" w:rsidRDefault="00A70539" w:rsidP="00FC6985">
      <w:pPr>
        <w:ind w:left="-90"/>
        <w:rPr>
          <w:b/>
          <w:bCs/>
          <w:color w:val="008D61" w:themeColor="accent2"/>
        </w:rPr>
      </w:pPr>
    </w:p>
    <w:p w14:paraId="75AAEF28" w14:textId="1AC13644" w:rsidR="00A70539" w:rsidRDefault="00A70539" w:rsidP="00FC6985">
      <w:pPr>
        <w:ind w:left="-90"/>
        <w:rPr>
          <w:b/>
          <w:bCs/>
          <w:color w:val="008D61" w:themeColor="accent2"/>
        </w:rPr>
      </w:pPr>
    </w:p>
    <w:p w14:paraId="642DC9DE" w14:textId="77777777" w:rsidR="00333548" w:rsidRDefault="00333548" w:rsidP="00F214E2">
      <w:pPr>
        <w:pStyle w:val="Bodyparagraph"/>
        <w:sectPr w:rsidR="00333548" w:rsidSect="0026507C">
          <w:footerReference w:type="default" r:id="rId14"/>
          <w:endnotePr>
            <w:numFmt w:val="decimal"/>
          </w:endnotePr>
          <w:pgSz w:w="11906" w:h="16838"/>
          <w:pgMar w:top="720" w:right="720" w:bottom="1152" w:left="720" w:header="0" w:footer="173" w:gutter="0"/>
          <w:cols w:num="2" w:space="720"/>
          <w:titlePg/>
          <w:docGrid w:linePitch="360"/>
        </w:sectPr>
      </w:pPr>
    </w:p>
    <w:p w14:paraId="4117BA8E" w14:textId="77777777" w:rsidR="00430FF1" w:rsidRDefault="00430FF1" w:rsidP="00333548">
      <w:pPr>
        <w:rPr>
          <w:color w:val="008D61" w:themeColor="accent2"/>
        </w:rPr>
      </w:pPr>
    </w:p>
    <w:p w14:paraId="5B503A29" w14:textId="48355557" w:rsidR="00333548" w:rsidRPr="00532911" w:rsidRDefault="00333548" w:rsidP="00333548">
      <w:pPr>
        <w:rPr>
          <w:color w:val="008D61" w:themeColor="accent2"/>
        </w:rPr>
      </w:pPr>
      <w:r w:rsidRPr="00532911">
        <w:rPr>
          <w:color w:val="008D61" w:themeColor="accent2"/>
        </w:rPr>
        <w:t xml:space="preserve">Apheresis Collections </w:t>
      </w:r>
    </w:p>
    <w:p w14:paraId="4FEEAD89" w14:textId="57B524C3" w:rsidR="00333548" w:rsidRPr="00333548" w:rsidRDefault="00333548" w:rsidP="00333548">
      <w:pPr>
        <w:rPr>
          <w:b/>
          <w:bCs/>
          <w:color w:val="008D61" w:themeColor="accent2"/>
        </w:rPr>
      </w:pPr>
      <w:r w:rsidRPr="00333548">
        <w:rPr>
          <w:b/>
          <w:bCs/>
          <w:color w:val="008D61" w:themeColor="accent2"/>
        </w:rPr>
        <w:t>Contact Us for the Support You Need</w:t>
      </w:r>
    </w:p>
    <w:p w14:paraId="12842F86" w14:textId="152E5BE3" w:rsidR="00333548" w:rsidRDefault="54A3435C" w:rsidP="3590B097">
      <w:r>
        <w:t xml:space="preserve">At Terumo Blood and Cell Technologies, our apheresis and data analytics experts help cell manufacturers, hospitals, and third-party collectors demystify, navigate, and improve the detailed landscape of their apheresis cell collections. Through our Veda Solutions program, we offer </w:t>
      </w:r>
      <w:r w:rsidR="33F5B5F5">
        <w:t xml:space="preserve">data </w:t>
      </w:r>
      <w:r>
        <w:t xml:space="preserve">services related to Spectra Optia collection procedure parameters. We offer solutions designed to bring control and consistency to your process </w:t>
      </w:r>
      <w:r w:rsidR="4CF673EB">
        <w:t>—</w:t>
      </w:r>
      <w:r>
        <w:t xml:space="preserve"> improv</w:t>
      </w:r>
      <w:r w:rsidR="729A9B26">
        <w:t>ing</w:t>
      </w:r>
      <w:r>
        <w:t xml:space="preserve"> the quality of your starting material and process for safe, predictable procedures. </w:t>
      </w:r>
    </w:p>
    <w:p w14:paraId="741FD77B" w14:textId="77777777" w:rsidR="00333548" w:rsidRDefault="00333548" w:rsidP="00333548"/>
    <w:p w14:paraId="049A858B" w14:textId="77777777" w:rsidR="00333548" w:rsidRPr="00923627" w:rsidRDefault="00A02958" w:rsidP="00333548">
      <w:pPr>
        <w:rPr>
          <w:b/>
          <w:bCs/>
        </w:rPr>
      </w:pPr>
      <w:hyperlink r:id="rId15">
        <w:r w:rsidR="00333548" w:rsidRPr="50F51EC5">
          <w:rPr>
            <w:rStyle w:val="Hyperlink"/>
            <w:b/>
            <w:bCs/>
          </w:rPr>
          <w:t>vedasolutions@terumobct.com</w:t>
        </w:r>
      </w:hyperlink>
    </w:p>
    <w:p w14:paraId="3701E2B7" w14:textId="7E96C1E3" w:rsidR="00333548" w:rsidRPr="00333548" w:rsidRDefault="54A3435C">
      <w:r>
        <w:t>T</w:t>
      </w:r>
      <w:r w:rsidR="7E67F0E8">
        <w:t>erumo</w:t>
      </w:r>
      <w:r>
        <w:t>BCT.</w:t>
      </w:r>
      <w:r w:rsidR="30B84881">
        <w:t>com</w:t>
      </w:r>
      <w:r>
        <w:t>/</w:t>
      </w:r>
      <w:proofErr w:type="spellStart"/>
      <w:r>
        <w:t>V</w:t>
      </w:r>
      <w:r w:rsidR="6AC8E3EE">
        <w:t>eda</w:t>
      </w:r>
      <w:r>
        <w:t>S</w:t>
      </w:r>
      <w:r w:rsidR="757D46C8">
        <w:t>olutions</w:t>
      </w:r>
      <w:proofErr w:type="spellEnd"/>
    </w:p>
    <w:p w14:paraId="6D45A425" w14:textId="77777777" w:rsidR="00BE59ED" w:rsidRDefault="00BE59ED" w:rsidP="00F214E2">
      <w:pPr>
        <w:pStyle w:val="Bodyparagraph"/>
        <w:sectPr w:rsidR="00BE59ED" w:rsidSect="0026507C">
          <w:endnotePr>
            <w:numFmt w:val="decimal"/>
          </w:endnotePr>
          <w:type w:val="continuous"/>
          <w:pgSz w:w="11906" w:h="16838"/>
          <w:pgMar w:top="720" w:right="720" w:bottom="1152" w:left="720" w:header="0" w:footer="173" w:gutter="0"/>
          <w:cols w:space="720"/>
          <w:titlePg/>
          <w:docGrid w:linePitch="360"/>
        </w:sectPr>
      </w:pPr>
    </w:p>
    <w:p w14:paraId="23B71827" w14:textId="77777777" w:rsidR="00EE68E0" w:rsidRDefault="00EE68E0" w:rsidP="00C731F4">
      <w:pPr>
        <w:pStyle w:val="SectionHeader"/>
        <w:ind w:right="-7"/>
      </w:pPr>
    </w:p>
    <w:p w14:paraId="42265B9F" w14:textId="77777777" w:rsidR="00EE68E0" w:rsidRDefault="00EE68E0" w:rsidP="00EE68E0">
      <w:pPr>
        <w:pStyle w:val="SectionHeader"/>
        <w:pBdr>
          <w:top w:val="single" w:sz="4" w:space="1" w:color="auto"/>
        </w:pBdr>
        <w:ind w:right="-7"/>
      </w:pPr>
    </w:p>
    <w:p w14:paraId="5495B93A" w14:textId="77777777" w:rsidR="008B1629" w:rsidRDefault="002E71B8" w:rsidP="00EE68E0">
      <w:pPr>
        <w:pStyle w:val="SectionHeader"/>
        <w:pBdr>
          <w:top w:val="single" w:sz="4" w:space="1" w:color="auto"/>
        </w:pBdr>
        <w:ind w:right="-7"/>
      </w:pPr>
      <w:r>
        <w:t>References</w:t>
      </w:r>
    </w:p>
    <w:p w14:paraId="5DEF608F" w14:textId="1A51921C" w:rsidR="00C83202" w:rsidRDefault="0675AFD8" w:rsidP="00333548">
      <w:pPr>
        <w:pStyle w:val="EndnoteText"/>
        <w:numPr>
          <w:ilvl w:val="0"/>
          <w:numId w:val="24"/>
        </w:numPr>
        <w:ind w:right="-7"/>
      </w:pPr>
      <w:r>
        <w:t xml:space="preserve">Hunt TD. </w:t>
      </w:r>
      <w:r w:rsidR="29CFF52F">
        <w:t>2023 industry update</w:t>
      </w:r>
      <w:r w:rsidR="4160B695">
        <w:t>;</w:t>
      </w:r>
      <w:r w:rsidR="29CFF52F">
        <w:t xml:space="preserve"> presented at the </w:t>
      </w:r>
      <w:r w:rsidR="5D9D310E">
        <w:t xml:space="preserve">Alliance for Regenerative Medicine </w:t>
      </w:r>
      <w:r>
        <w:t>Cell</w:t>
      </w:r>
      <w:r w:rsidR="56C67D3C">
        <w:t xml:space="preserve"> &amp;</w:t>
      </w:r>
      <w:r>
        <w:t xml:space="preserve"> </w:t>
      </w:r>
      <w:r w:rsidR="620E43FC">
        <w:t>G</w:t>
      </w:r>
      <w:r>
        <w:t xml:space="preserve">ene </w:t>
      </w:r>
      <w:r w:rsidR="1B1A5017">
        <w:t>S</w:t>
      </w:r>
      <w:r>
        <w:t xml:space="preserve">tate of the </w:t>
      </w:r>
      <w:r w:rsidR="015B4ECD">
        <w:t>I</w:t>
      </w:r>
      <w:r>
        <w:t xml:space="preserve">ndustry </w:t>
      </w:r>
      <w:r w:rsidR="7A1BFBFE">
        <w:t>B</w:t>
      </w:r>
      <w:r>
        <w:t>riefing</w:t>
      </w:r>
      <w:r w:rsidR="55F2E74E">
        <w:t xml:space="preserve">; January 9, 2023; </w:t>
      </w:r>
      <w:r w:rsidR="0B19E5C1">
        <w:t>San Fransisco, Calif.</w:t>
      </w:r>
      <w:r w:rsidR="00CE47CA">
        <w:t xml:space="preserve">: </w:t>
      </w:r>
    </w:p>
    <w:p w14:paraId="7D0BC185" w14:textId="465EF5A4" w:rsidR="00333548" w:rsidRPr="00333548" w:rsidRDefault="54A3435C" w:rsidP="00333548">
      <w:pPr>
        <w:pStyle w:val="EndnoteText"/>
        <w:numPr>
          <w:ilvl w:val="0"/>
          <w:numId w:val="24"/>
        </w:numPr>
        <w:ind w:right="-7"/>
      </w:pPr>
      <w:r>
        <w:t xml:space="preserve">Alliance of Regenerative Medicine. (2018). Annual Regenerative Medicine Data Report 2018. </w:t>
      </w:r>
      <w:hyperlink r:id="rId16">
        <w:r>
          <w:t>https://alliancerm.org/publication/2018-annual-report/</w:t>
        </w:r>
      </w:hyperlink>
      <w:r w:rsidR="026E70C5">
        <w:t xml:space="preserve">. </w:t>
      </w:r>
      <w:r w:rsidR="00F214E2">
        <w:t>Accessed October 20, 2023.</w:t>
      </w:r>
    </w:p>
    <w:p w14:paraId="0D86487C" w14:textId="2EF2837A" w:rsidR="00BB0256" w:rsidRDefault="6A77933B" w:rsidP="00333548">
      <w:pPr>
        <w:pStyle w:val="EndnoteText"/>
        <w:numPr>
          <w:ilvl w:val="0"/>
          <w:numId w:val="24"/>
        </w:numPr>
        <w:ind w:right="-7"/>
      </w:pPr>
      <w:r>
        <w:t>Heathman TR, Nienow AW, McCall MJ, Coopman K, Kara B, Hewitt CJ. The translation of cell-based therapies: clinical landscape and manufacturing challenges.</w:t>
      </w:r>
      <w:r w:rsidRPr="009A6969">
        <w:rPr>
          <w:i/>
          <w:iCs/>
        </w:rPr>
        <w:t xml:space="preserve"> </w:t>
      </w:r>
      <w:r w:rsidR="00F633C6" w:rsidRPr="009A6969">
        <w:rPr>
          <w:i/>
          <w:iCs/>
        </w:rPr>
        <w:t>Regen Med</w:t>
      </w:r>
      <w:r w:rsidR="00F633C6" w:rsidRPr="00F633C6">
        <w:t xml:space="preserve">. 2015;10(1):49-64. </w:t>
      </w:r>
    </w:p>
    <w:p w14:paraId="470BFBA2" w14:textId="44027AA1" w:rsidR="00333548" w:rsidRPr="00333548" w:rsidRDefault="54A3435C" w:rsidP="00333548">
      <w:pPr>
        <w:pStyle w:val="EndnoteText"/>
        <w:numPr>
          <w:ilvl w:val="0"/>
          <w:numId w:val="24"/>
        </w:numPr>
        <w:ind w:right="-7"/>
      </w:pPr>
      <w:r>
        <w:t>Juliano L, Eastwood G</w:t>
      </w:r>
      <w:r w:rsidR="00F633C6">
        <w:t>.</w:t>
      </w:r>
      <w:r>
        <w:t xml:space="preserve"> The </w:t>
      </w:r>
      <w:r w:rsidR="5B262FED">
        <w:t>i</w:t>
      </w:r>
      <w:r>
        <w:t xml:space="preserve">mportance of </w:t>
      </w:r>
      <w:r w:rsidR="1E877F3D">
        <w:t>c</w:t>
      </w:r>
      <w:r>
        <w:t xml:space="preserve">ollection, </w:t>
      </w:r>
      <w:r w:rsidR="2D106232">
        <w:t>p</w:t>
      </w:r>
      <w:r>
        <w:t>rocessing</w:t>
      </w:r>
      <w:r w:rsidR="3376F896">
        <w:t xml:space="preserve"> </w:t>
      </w:r>
      <w:r w:rsidR="00F633C6">
        <w:t>&amp;</w:t>
      </w:r>
      <w:r>
        <w:t xml:space="preserve"> </w:t>
      </w:r>
      <w:proofErr w:type="spellStart"/>
      <w:r w:rsidR="353014E0">
        <w:t>b</w:t>
      </w:r>
      <w:r>
        <w:t>iopreservation</w:t>
      </w:r>
      <w:proofErr w:type="spellEnd"/>
      <w:r>
        <w:t xml:space="preserve"> </w:t>
      </w:r>
      <w:r w:rsidR="2F770A8A">
        <w:t>b</w:t>
      </w:r>
      <w:r>
        <w:t xml:space="preserve">est </w:t>
      </w:r>
      <w:r w:rsidR="30E73DC1">
        <w:t>p</w:t>
      </w:r>
      <w:r>
        <w:t xml:space="preserve">ractices in </w:t>
      </w:r>
      <w:r w:rsidR="184FA60B">
        <w:t>d</w:t>
      </w:r>
      <w:r>
        <w:t xml:space="preserve">etermining CAR-T </w:t>
      </w:r>
      <w:r w:rsidR="374D7C4C">
        <w:t>s</w:t>
      </w:r>
      <w:r>
        <w:t xml:space="preserve">tarting </w:t>
      </w:r>
      <w:r w:rsidR="27A326BE">
        <w:t>m</w:t>
      </w:r>
      <w:r>
        <w:t xml:space="preserve">aterial </w:t>
      </w:r>
      <w:r w:rsidR="5CB3E15F">
        <w:t>q</w:t>
      </w:r>
      <w:r>
        <w:t>uality.</w:t>
      </w:r>
      <w:r w:rsidR="00F633C6">
        <w:t xml:space="preserve"> </w:t>
      </w:r>
      <w:r w:rsidR="00F633C6" w:rsidRPr="77FB5134">
        <w:rPr>
          <w:i/>
          <w:iCs/>
        </w:rPr>
        <w:t>Cell Gene Ther Insights</w:t>
      </w:r>
      <w:r w:rsidR="00F633C6">
        <w:t>. 2018;4(4): 327-336.</w:t>
      </w:r>
    </w:p>
    <w:p w14:paraId="6DB1EA7A" w14:textId="77CE944A" w:rsidR="00C64311" w:rsidRDefault="54A3435C" w:rsidP="00DA6EAA">
      <w:pPr>
        <w:pStyle w:val="EndnoteText"/>
        <w:numPr>
          <w:ilvl w:val="0"/>
          <w:numId w:val="24"/>
        </w:numPr>
        <w:ind w:right="-7"/>
        <w:sectPr w:rsidR="00C64311" w:rsidSect="0026507C">
          <w:endnotePr>
            <w:numFmt w:val="decimal"/>
          </w:endnotePr>
          <w:type w:val="continuous"/>
          <w:pgSz w:w="11906" w:h="16838"/>
          <w:pgMar w:top="720" w:right="720" w:bottom="288" w:left="720" w:header="0" w:footer="173" w:gutter="0"/>
          <w:cols w:space="720"/>
          <w:titlePg/>
          <w:docGrid w:linePitch="360"/>
        </w:sectPr>
      </w:pPr>
      <w:r>
        <w:t xml:space="preserve">Purtill D, Smith K, Devlin S, et al. Dominant unit CD34+ cell dose predicts engraftment after double-unit cord blood transplantation and is </w:t>
      </w:r>
      <w:r w:rsidR="00DC7BD1">
        <w:t>i</w:t>
      </w:r>
      <w:r>
        <w:t xml:space="preserve">nfluenced by bank practice. </w:t>
      </w:r>
      <w:r w:rsidR="00DC7BD1" w:rsidRPr="00430FF1">
        <w:rPr>
          <w:i/>
          <w:iCs/>
        </w:rPr>
        <w:t>Blood</w:t>
      </w:r>
      <w:r w:rsidR="00DC7BD1">
        <w:t xml:space="preserve">. 2014;124(19):2905-2912. </w:t>
      </w:r>
    </w:p>
    <w:p w14:paraId="26765855" w14:textId="77777777" w:rsidR="00EE68E0" w:rsidRDefault="00EE68E0" w:rsidP="00EE68E0">
      <w:pPr>
        <w:pStyle w:val="SectionHeader"/>
      </w:pPr>
    </w:p>
    <w:tbl>
      <w:tblPr>
        <w:tblStyle w:val="TableGrid"/>
        <w:tblW w:w="105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2160"/>
        <w:gridCol w:w="2074"/>
        <w:gridCol w:w="2209"/>
        <w:gridCol w:w="2029"/>
        <w:gridCol w:w="2056"/>
      </w:tblGrid>
      <w:tr w:rsidR="00C64311" w:rsidRPr="003A0A5D" w14:paraId="6541F232" w14:textId="77777777" w:rsidTr="00BE59ED">
        <w:trPr>
          <w:trHeight w:val="12272"/>
        </w:trPr>
        <w:tc>
          <w:tcPr>
            <w:tcW w:w="10528" w:type="dxa"/>
            <w:gridSpan w:val="5"/>
            <w:vAlign w:val="center"/>
          </w:tcPr>
          <w:p w14:paraId="78B224FD" w14:textId="77777777" w:rsidR="00C64311" w:rsidRDefault="00C64311" w:rsidP="00333548">
            <w:pPr>
              <w:pStyle w:val="Footer"/>
              <w:tabs>
                <w:tab w:val="clear" w:pos="4680"/>
                <w:tab w:val="clear" w:pos="9360"/>
                <w:tab w:val="left" w:pos="1350"/>
                <w:tab w:val="left" w:pos="3510"/>
                <w:tab w:val="left" w:pos="5760"/>
                <w:tab w:val="left" w:pos="8100"/>
              </w:tabs>
              <w:spacing w:after="40" w:line="240" w:lineRule="auto"/>
              <w:ind w:right="0"/>
              <w:jc w:val="center"/>
              <w:rPr>
                <w:rFonts w:ascii="Arial" w:hAnsi="Arial"/>
                <w:b/>
                <w:noProof/>
                <w:color w:val="008D61"/>
                <w:sz w:val="12"/>
                <w:szCs w:val="12"/>
              </w:rPr>
            </w:pPr>
          </w:p>
        </w:tc>
      </w:tr>
      <w:tr w:rsidR="00EE68E0" w:rsidRPr="003A0A5D" w14:paraId="44ACABB4" w14:textId="77777777" w:rsidTr="00C64311">
        <w:trPr>
          <w:trHeight w:val="590"/>
        </w:trPr>
        <w:tc>
          <w:tcPr>
            <w:tcW w:w="10528" w:type="dxa"/>
            <w:gridSpan w:val="5"/>
          </w:tcPr>
          <w:p w14:paraId="2DF564C5" w14:textId="77777777" w:rsidR="00EE68E0" w:rsidRDefault="00EE68E0" w:rsidP="004E3DCA">
            <w:pPr>
              <w:pStyle w:val="Footer"/>
              <w:tabs>
                <w:tab w:val="clear" w:pos="4680"/>
                <w:tab w:val="clear" w:pos="9360"/>
                <w:tab w:val="left" w:pos="1350"/>
                <w:tab w:val="left" w:pos="3510"/>
                <w:tab w:val="left" w:pos="5760"/>
                <w:tab w:val="left" w:pos="8100"/>
              </w:tabs>
              <w:spacing w:after="40" w:line="240" w:lineRule="auto"/>
              <w:ind w:left="-113" w:right="0"/>
              <w:rPr>
                <w:rFonts w:ascii="Arial" w:hAnsi="Arial"/>
                <w:b/>
                <w:color w:val="008D61"/>
                <w:sz w:val="12"/>
                <w:szCs w:val="12"/>
              </w:rPr>
            </w:pPr>
            <w:r>
              <w:rPr>
                <w:rFonts w:ascii="Arial" w:hAnsi="Arial"/>
                <w:b/>
                <w:noProof/>
                <w:color w:val="008D61"/>
                <w:sz w:val="12"/>
                <w:szCs w:val="12"/>
              </w:rPr>
              <w:drawing>
                <wp:inline distT="0" distB="0" distL="0" distR="0" wp14:anchorId="245136EC" wp14:editId="5AB4BF05">
                  <wp:extent cx="1980704" cy="199177"/>
                  <wp:effectExtent l="0" t="0" r="635" b="444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TBCT2020-HRZ-forPPT.png"/>
                          <pic:cNvPicPr/>
                        </pic:nvPicPr>
                        <pic:blipFill>
                          <a:blip r:embed="rId17">
                            <a:extLst>
                              <a:ext uri="{28A0092B-C50C-407E-A947-70E740481C1C}">
                                <a14:useLocalDpi xmlns:a14="http://schemas.microsoft.com/office/drawing/2010/main" val="0"/>
                              </a:ext>
                            </a:extLst>
                          </a:blip>
                          <a:stretch>
                            <a:fillRect/>
                          </a:stretch>
                        </pic:blipFill>
                        <pic:spPr>
                          <a:xfrm>
                            <a:off x="0" y="0"/>
                            <a:ext cx="2563928" cy="257825"/>
                          </a:xfrm>
                          <a:prstGeom prst="rect">
                            <a:avLst/>
                          </a:prstGeom>
                        </pic:spPr>
                      </pic:pic>
                    </a:graphicData>
                  </a:graphic>
                </wp:inline>
              </w:drawing>
            </w:r>
          </w:p>
          <w:p w14:paraId="3A27B607" w14:textId="77777777" w:rsidR="00C64311" w:rsidRDefault="00C64311" w:rsidP="004E3DCA">
            <w:pPr>
              <w:pStyle w:val="Footer"/>
              <w:tabs>
                <w:tab w:val="clear" w:pos="4680"/>
                <w:tab w:val="clear" w:pos="9360"/>
                <w:tab w:val="left" w:pos="1350"/>
                <w:tab w:val="left" w:pos="3510"/>
                <w:tab w:val="left" w:pos="5760"/>
                <w:tab w:val="left" w:pos="8100"/>
              </w:tabs>
              <w:spacing w:after="40" w:line="240" w:lineRule="auto"/>
              <w:ind w:left="-113" w:right="0"/>
              <w:rPr>
                <w:rFonts w:ascii="Arial" w:hAnsi="Arial"/>
                <w:b/>
                <w:color w:val="008D61"/>
                <w:sz w:val="12"/>
                <w:szCs w:val="12"/>
              </w:rPr>
            </w:pPr>
          </w:p>
          <w:p w14:paraId="207F09EE" w14:textId="77777777" w:rsidR="00C64311" w:rsidRPr="003A0A5D" w:rsidRDefault="00C64311" w:rsidP="004E3DCA">
            <w:pPr>
              <w:pStyle w:val="Footer"/>
              <w:tabs>
                <w:tab w:val="clear" w:pos="4680"/>
                <w:tab w:val="clear" w:pos="9360"/>
                <w:tab w:val="left" w:pos="1350"/>
                <w:tab w:val="left" w:pos="3510"/>
                <w:tab w:val="left" w:pos="5760"/>
                <w:tab w:val="left" w:pos="8100"/>
              </w:tabs>
              <w:spacing w:after="40" w:line="240" w:lineRule="auto"/>
              <w:ind w:left="-113" w:right="0"/>
              <w:rPr>
                <w:rFonts w:ascii="Arial" w:hAnsi="Arial"/>
                <w:b/>
                <w:color w:val="008D61"/>
                <w:sz w:val="12"/>
                <w:szCs w:val="12"/>
              </w:rPr>
            </w:pPr>
          </w:p>
        </w:tc>
      </w:tr>
      <w:tr w:rsidR="00EE68E0" w:rsidRPr="003A0A5D" w14:paraId="1B15F24F" w14:textId="77777777" w:rsidTr="00C64311">
        <w:trPr>
          <w:trHeight w:val="1445"/>
        </w:trPr>
        <w:tc>
          <w:tcPr>
            <w:tcW w:w="2160" w:type="dxa"/>
          </w:tcPr>
          <w:p w14:paraId="2F43F3BB"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Pr>
                <w:rFonts w:ascii="Arial" w:hAnsi="Arial"/>
                <w:color w:val="008D61"/>
                <w:sz w:val="11"/>
                <w:szCs w:val="11"/>
              </w:rPr>
            </w:pPr>
            <w:r w:rsidRPr="008A60C1">
              <w:rPr>
                <w:rFonts w:ascii="Arial" w:hAnsi="Arial"/>
                <w:b/>
                <w:color w:val="008D61"/>
                <w:sz w:val="11"/>
                <w:szCs w:val="11"/>
              </w:rPr>
              <w:t>Terumo BCT, Inc.</w:t>
            </w:r>
            <w:r w:rsidRPr="008A60C1">
              <w:rPr>
                <w:rFonts w:ascii="Arial" w:hAnsi="Arial"/>
                <w:color w:val="008D61"/>
                <w:sz w:val="11"/>
                <w:szCs w:val="11"/>
              </w:rPr>
              <w:t xml:space="preserve"> </w:t>
            </w:r>
          </w:p>
          <w:p w14:paraId="5CEA1084"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Pr>
                <w:rFonts w:ascii="Arial" w:hAnsi="Arial"/>
                <w:color w:val="4B4B4B"/>
                <w:sz w:val="11"/>
                <w:szCs w:val="11"/>
              </w:rPr>
            </w:pPr>
            <w:r w:rsidRPr="008A60C1">
              <w:rPr>
                <w:rFonts w:ascii="Arial" w:hAnsi="Arial"/>
                <w:color w:val="4B4B4B"/>
                <w:sz w:val="11"/>
                <w:szCs w:val="11"/>
              </w:rPr>
              <w:t xml:space="preserve">10811 West Collins Ave. </w:t>
            </w:r>
          </w:p>
          <w:p w14:paraId="1A889204"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ight="96"/>
              <w:rPr>
                <w:rFonts w:ascii="Arial" w:hAnsi="Arial"/>
                <w:color w:val="4B4B4B"/>
                <w:sz w:val="11"/>
                <w:szCs w:val="11"/>
              </w:rPr>
            </w:pPr>
            <w:r w:rsidRPr="008A60C1">
              <w:rPr>
                <w:rFonts w:ascii="Arial" w:hAnsi="Arial"/>
                <w:color w:val="4B4B4B"/>
                <w:sz w:val="11"/>
                <w:szCs w:val="11"/>
              </w:rPr>
              <w:t>Lakewood, Colorado 80215-4440</w:t>
            </w:r>
          </w:p>
          <w:p w14:paraId="045652D0"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Pr>
                <w:rFonts w:ascii="Arial" w:hAnsi="Arial"/>
                <w:color w:val="4B4B4B"/>
                <w:sz w:val="11"/>
                <w:szCs w:val="11"/>
              </w:rPr>
            </w:pPr>
            <w:r w:rsidRPr="008A60C1">
              <w:rPr>
                <w:rFonts w:ascii="Arial" w:hAnsi="Arial"/>
                <w:color w:val="4B4B4B"/>
                <w:sz w:val="11"/>
                <w:szCs w:val="11"/>
              </w:rPr>
              <w:t>USA</w:t>
            </w:r>
          </w:p>
          <w:p w14:paraId="7EB3A13E"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Pr>
                <w:rFonts w:ascii="Arial" w:hAnsi="Arial"/>
                <w:color w:val="4B4B4B"/>
                <w:sz w:val="11"/>
                <w:szCs w:val="11"/>
              </w:rPr>
            </w:pPr>
            <w:r w:rsidRPr="008A60C1">
              <w:rPr>
                <w:rFonts w:ascii="Arial" w:hAnsi="Arial"/>
                <w:color w:val="4B4B4B"/>
                <w:sz w:val="11"/>
                <w:szCs w:val="11"/>
              </w:rPr>
              <w:t xml:space="preserve">USA Phone: 1.877.339.4228   </w:t>
            </w:r>
          </w:p>
          <w:p w14:paraId="4C3DC3C1"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Pr>
                <w:rFonts w:ascii="Arial" w:hAnsi="Arial"/>
                <w:color w:val="4B4B4B"/>
                <w:sz w:val="11"/>
                <w:szCs w:val="11"/>
              </w:rPr>
            </w:pPr>
            <w:r w:rsidRPr="008A60C1">
              <w:rPr>
                <w:rFonts w:ascii="Arial" w:hAnsi="Arial"/>
                <w:color w:val="4B4B4B"/>
                <w:sz w:val="11"/>
                <w:szCs w:val="11"/>
              </w:rPr>
              <w:t>Phone: +1.303.231.4357</w:t>
            </w:r>
          </w:p>
          <w:p w14:paraId="788BA33E"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left="-102"/>
              <w:rPr>
                <w:rFonts w:ascii="Arial" w:hAnsi="Arial"/>
                <w:color w:val="4B4B4B"/>
                <w:sz w:val="11"/>
                <w:szCs w:val="11"/>
              </w:rPr>
            </w:pPr>
            <w:r w:rsidRPr="008A60C1">
              <w:rPr>
                <w:rFonts w:ascii="Arial" w:hAnsi="Arial"/>
                <w:color w:val="4B4B4B"/>
                <w:sz w:val="11"/>
                <w:szCs w:val="11"/>
              </w:rPr>
              <w:t xml:space="preserve">Fax: +1.303.542.5215 </w:t>
            </w:r>
          </w:p>
        </w:tc>
        <w:tc>
          <w:tcPr>
            <w:tcW w:w="2074" w:type="dxa"/>
          </w:tcPr>
          <w:p w14:paraId="20028374"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008D61"/>
                <w:sz w:val="11"/>
                <w:szCs w:val="11"/>
              </w:rPr>
            </w:pPr>
            <w:r w:rsidRPr="008A60C1">
              <w:rPr>
                <w:rFonts w:ascii="Arial" w:hAnsi="Arial"/>
                <w:b/>
                <w:color w:val="008D61"/>
                <w:sz w:val="11"/>
                <w:szCs w:val="11"/>
              </w:rPr>
              <w:t>Terumo BCT Europe N.V.</w:t>
            </w:r>
            <w:r w:rsidRPr="008A60C1">
              <w:rPr>
                <w:rFonts w:ascii="Arial" w:hAnsi="Arial"/>
                <w:color w:val="008D61"/>
                <w:sz w:val="11"/>
                <w:szCs w:val="11"/>
              </w:rPr>
              <w:t xml:space="preserve"> </w:t>
            </w:r>
          </w:p>
          <w:p w14:paraId="1B79AB6C"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ind w:right="182"/>
              <w:rPr>
                <w:rFonts w:ascii="Arial" w:hAnsi="Arial"/>
                <w:color w:val="4B4B4B"/>
                <w:sz w:val="11"/>
                <w:szCs w:val="11"/>
              </w:rPr>
            </w:pPr>
            <w:r w:rsidRPr="008A60C1">
              <w:rPr>
                <w:rFonts w:ascii="Arial" w:hAnsi="Arial"/>
                <w:color w:val="4B4B4B"/>
                <w:sz w:val="11"/>
                <w:szCs w:val="11"/>
              </w:rPr>
              <w:t xml:space="preserve">Europe, Middle </w:t>
            </w:r>
            <w:proofErr w:type="gramStart"/>
            <w:r w:rsidRPr="008A60C1">
              <w:rPr>
                <w:rFonts w:ascii="Arial" w:hAnsi="Arial"/>
                <w:color w:val="4B4B4B"/>
                <w:sz w:val="11"/>
                <w:szCs w:val="11"/>
              </w:rPr>
              <w:t>East</w:t>
            </w:r>
            <w:proofErr w:type="gramEnd"/>
            <w:r w:rsidRPr="008A60C1">
              <w:rPr>
                <w:rFonts w:ascii="Arial" w:hAnsi="Arial"/>
                <w:color w:val="4B4B4B"/>
                <w:sz w:val="11"/>
                <w:szCs w:val="11"/>
              </w:rPr>
              <w:t xml:space="preserve"> and Africa</w:t>
            </w:r>
          </w:p>
          <w:p w14:paraId="25B1FD24"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proofErr w:type="spellStart"/>
            <w:r w:rsidRPr="008A60C1">
              <w:rPr>
                <w:rFonts w:ascii="Arial" w:hAnsi="Arial"/>
                <w:color w:val="4B4B4B"/>
                <w:sz w:val="11"/>
                <w:szCs w:val="11"/>
              </w:rPr>
              <w:t>Ikaroslaan</w:t>
            </w:r>
            <w:proofErr w:type="spellEnd"/>
            <w:r w:rsidRPr="008A60C1">
              <w:rPr>
                <w:rFonts w:ascii="Arial" w:hAnsi="Arial"/>
                <w:color w:val="4B4B4B"/>
                <w:sz w:val="11"/>
                <w:szCs w:val="11"/>
              </w:rPr>
              <w:t xml:space="preserve"> 41</w:t>
            </w:r>
          </w:p>
          <w:p w14:paraId="38491CAE"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1930 Zaventem</w:t>
            </w:r>
          </w:p>
          <w:p w14:paraId="67DE0771"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Belgium</w:t>
            </w:r>
          </w:p>
          <w:p w14:paraId="4BD057C9"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 xml:space="preserve">Phone: +32.2.715.0590 </w:t>
            </w:r>
          </w:p>
          <w:p w14:paraId="12C49CC7"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Fax: +32.2.721.0770</w:t>
            </w:r>
          </w:p>
        </w:tc>
        <w:tc>
          <w:tcPr>
            <w:tcW w:w="2209" w:type="dxa"/>
          </w:tcPr>
          <w:p w14:paraId="1BBF4135"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008D61"/>
                <w:sz w:val="11"/>
                <w:szCs w:val="11"/>
              </w:rPr>
            </w:pPr>
            <w:r w:rsidRPr="008A60C1">
              <w:rPr>
                <w:rFonts w:ascii="Arial" w:hAnsi="Arial"/>
                <w:b/>
                <w:color w:val="008D61"/>
                <w:sz w:val="11"/>
                <w:szCs w:val="11"/>
              </w:rPr>
              <w:t>Terumo BCT Asia Pte. Ltd.</w:t>
            </w:r>
            <w:r w:rsidRPr="008A60C1">
              <w:rPr>
                <w:rFonts w:ascii="Arial" w:hAnsi="Arial"/>
                <w:color w:val="008D61"/>
                <w:sz w:val="11"/>
                <w:szCs w:val="11"/>
              </w:rPr>
              <w:t xml:space="preserve"> </w:t>
            </w:r>
          </w:p>
          <w:p w14:paraId="1335499A"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89 Science Park Drive</w:t>
            </w:r>
          </w:p>
          <w:p w14:paraId="7E554706"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#04-25 (Lobby B)</w:t>
            </w:r>
          </w:p>
          <w:p w14:paraId="2892A638"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The Rutherford</w:t>
            </w:r>
          </w:p>
          <w:p w14:paraId="1CFF81B2"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Singapore 118261</w:t>
            </w:r>
          </w:p>
          <w:p w14:paraId="111F4ADB"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Phone: +65.6715.3778</w:t>
            </w:r>
          </w:p>
          <w:p w14:paraId="78876815"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Fax: +65.6774.1419</w:t>
            </w:r>
          </w:p>
        </w:tc>
        <w:tc>
          <w:tcPr>
            <w:tcW w:w="2029" w:type="dxa"/>
          </w:tcPr>
          <w:p w14:paraId="7DB0D421"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008D61"/>
                <w:sz w:val="11"/>
                <w:szCs w:val="11"/>
              </w:rPr>
            </w:pPr>
            <w:r w:rsidRPr="008A60C1">
              <w:rPr>
                <w:rFonts w:ascii="Arial" w:hAnsi="Arial"/>
                <w:b/>
                <w:color w:val="008D61"/>
                <w:sz w:val="11"/>
                <w:szCs w:val="11"/>
              </w:rPr>
              <w:t>Terumo BCT Latin America S.A</w:t>
            </w:r>
            <w:r w:rsidRPr="008A60C1">
              <w:rPr>
                <w:rFonts w:ascii="Arial" w:hAnsi="Arial"/>
                <w:color w:val="008D61"/>
                <w:sz w:val="11"/>
                <w:szCs w:val="11"/>
              </w:rPr>
              <w:t xml:space="preserve"> </w:t>
            </w:r>
          </w:p>
          <w:p w14:paraId="03C6E26A"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La Pampa 1517</w:t>
            </w:r>
            <w:r w:rsidRPr="008A60C1">
              <w:rPr>
                <w:rFonts w:ascii="Arial" w:hAnsi="Arial" w:cs="Arial"/>
                <w:color w:val="4B4B4B"/>
                <w:sz w:val="11"/>
                <w:szCs w:val="11"/>
              </w:rPr>
              <w:t>–</w:t>
            </w:r>
            <w:r w:rsidRPr="008A60C1">
              <w:rPr>
                <w:rFonts w:ascii="Arial" w:hAnsi="Arial"/>
                <w:color w:val="4B4B4B"/>
                <w:sz w:val="11"/>
                <w:szCs w:val="11"/>
              </w:rPr>
              <w:t>12</w:t>
            </w:r>
            <w:r w:rsidRPr="008A60C1">
              <w:rPr>
                <w:rFonts w:ascii="Arial" w:hAnsi="Arial"/>
                <w:color w:val="4B4B4B"/>
                <w:sz w:val="11"/>
                <w:szCs w:val="11"/>
                <w:vertAlign w:val="superscript"/>
              </w:rPr>
              <w:t>th</w:t>
            </w:r>
            <w:r w:rsidRPr="008A60C1">
              <w:rPr>
                <w:rFonts w:ascii="Arial" w:hAnsi="Arial"/>
                <w:color w:val="4B4B4B"/>
                <w:sz w:val="11"/>
                <w:szCs w:val="11"/>
              </w:rPr>
              <w:t xml:space="preserve"> Floor</w:t>
            </w:r>
          </w:p>
          <w:p w14:paraId="7FE8A9B0"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C1428DZE</w:t>
            </w:r>
          </w:p>
          <w:p w14:paraId="1BC2B316"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 xml:space="preserve">Buenos Aires </w:t>
            </w:r>
          </w:p>
          <w:p w14:paraId="175D0712"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Argentina</w:t>
            </w:r>
          </w:p>
          <w:p w14:paraId="66E4FA3B"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 xml:space="preserve">Phone: +54.11.5530.5200 </w:t>
            </w:r>
          </w:p>
          <w:p w14:paraId="79608837"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b/>
                <w:color w:val="009A44"/>
                <w:sz w:val="11"/>
                <w:szCs w:val="11"/>
              </w:rPr>
            </w:pPr>
            <w:r w:rsidRPr="008A60C1">
              <w:rPr>
                <w:rFonts w:ascii="Arial" w:hAnsi="Arial"/>
                <w:color w:val="4B4B4B"/>
                <w:sz w:val="11"/>
                <w:szCs w:val="11"/>
              </w:rPr>
              <w:t>Fax: +54.11.5530.5201</w:t>
            </w:r>
          </w:p>
        </w:tc>
        <w:tc>
          <w:tcPr>
            <w:tcW w:w="2056" w:type="dxa"/>
          </w:tcPr>
          <w:p w14:paraId="07569D92"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008D61"/>
                <w:sz w:val="11"/>
                <w:szCs w:val="11"/>
              </w:rPr>
            </w:pPr>
            <w:r w:rsidRPr="008A60C1">
              <w:rPr>
                <w:rFonts w:ascii="Arial" w:hAnsi="Arial"/>
                <w:b/>
                <w:color w:val="008D61"/>
                <w:sz w:val="11"/>
                <w:szCs w:val="11"/>
              </w:rPr>
              <w:t>Terumo BCT Japan, Inc.</w:t>
            </w:r>
            <w:r w:rsidRPr="008A60C1">
              <w:rPr>
                <w:rFonts w:ascii="Arial" w:hAnsi="Arial"/>
                <w:color w:val="008D61"/>
                <w:sz w:val="11"/>
                <w:szCs w:val="11"/>
              </w:rPr>
              <w:t xml:space="preserve"> </w:t>
            </w:r>
          </w:p>
          <w:p w14:paraId="20E7999F" w14:textId="77777777" w:rsidR="00EE68E0"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Tokyo Opera City Tower 49F</w:t>
            </w:r>
            <w:r>
              <w:rPr>
                <w:rFonts w:ascii="Arial" w:hAnsi="Arial"/>
                <w:color w:val="4B4B4B"/>
                <w:sz w:val="11"/>
                <w:szCs w:val="11"/>
              </w:rPr>
              <w:t>,</w:t>
            </w:r>
          </w:p>
          <w:p w14:paraId="6FFD2959"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3-20-2, Nishi-Shinjuku,</w:t>
            </w:r>
          </w:p>
          <w:p w14:paraId="5E282B33" w14:textId="77777777" w:rsidR="00EE68E0" w:rsidRDefault="00EE68E0" w:rsidP="004E3DCA">
            <w:pPr>
              <w:pStyle w:val="Footer"/>
              <w:tabs>
                <w:tab w:val="clear" w:pos="4680"/>
                <w:tab w:val="clear" w:pos="9360"/>
                <w:tab w:val="left" w:pos="1350"/>
                <w:tab w:val="left" w:pos="3510"/>
                <w:tab w:val="left" w:pos="5760"/>
                <w:tab w:val="left" w:pos="8100"/>
              </w:tabs>
              <w:snapToGrid w:val="0"/>
              <w:spacing w:after="20" w:line="240" w:lineRule="auto"/>
              <w:ind w:right="78"/>
              <w:rPr>
                <w:rFonts w:ascii="Arial" w:hAnsi="Arial"/>
                <w:color w:val="4B4B4B"/>
                <w:sz w:val="11"/>
                <w:szCs w:val="11"/>
              </w:rPr>
            </w:pPr>
            <w:r w:rsidRPr="008A60C1">
              <w:rPr>
                <w:rFonts w:ascii="Arial" w:hAnsi="Arial"/>
                <w:color w:val="4B4B4B"/>
                <w:sz w:val="11"/>
                <w:szCs w:val="11"/>
              </w:rPr>
              <w:t>Shinjuku-</w:t>
            </w:r>
            <w:proofErr w:type="spellStart"/>
            <w:r w:rsidRPr="008A60C1">
              <w:rPr>
                <w:rFonts w:ascii="Arial" w:hAnsi="Arial"/>
                <w:color w:val="4B4B4B"/>
                <w:sz w:val="11"/>
                <w:szCs w:val="11"/>
              </w:rPr>
              <w:t>ku</w:t>
            </w:r>
            <w:proofErr w:type="spellEnd"/>
            <w:r w:rsidRPr="008A60C1">
              <w:rPr>
                <w:rFonts w:ascii="Arial" w:hAnsi="Arial"/>
                <w:color w:val="4B4B4B"/>
                <w:sz w:val="11"/>
                <w:szCs w:val="11"/>
              </w:rPr>
              <w:t>, Tokyo 163-1450</w:t>
            </w:r>
            <w:r>
              <w:rPr>
                <w:rFonts w:ascii="Arial" w:hAnsi="Arial"/>
                <w:color w:val="4B4B4B"/>
                <w:sz w:val="11"/>
                <w:szCs w:val="11"/>
              </w:rPr>
              <w:t>,</w:t>
            </w:r>
          </w:p>
          <w:p w14:paraId="460E24B6"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 xml:space="preserve">Japan </w:t>
            </w:r>
          </w:p>
          <w:p w14:paraId="27A32426"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 xml:space="preserve">Phone: +81.3.6743.7890 </w:t>
            </w:r>
          </w:p>
          <w:p w14:paraId="38AE8AF7" w14:textId="77777777" w:rsidR="00EE68E0" w:rsidRPr="008A60C1" w:rsidRDefault="00EE68E0" w:rsidP="004E3DCA">
            <w:pPr>
              <w:pStyle w:val="Footer"/>
              <w:tabs>
                <w:tab w:val="clear" w:pos="4680"/>
                <w:tab w:val="clear" w:pos="9360"/>
                <w:tab w:val="left" w:pos="1350"/>
                <w:tab w:val="left" w:pos="3510"/>
                <w:tab w:val="left" w:pos="5760"/>
                <w:tab w:val="left" w:pos="8100"/>
              </w:tabs>
              <w:snapToGrid w:val="0"/>
              <w:spacing w:after="20" w:line="240" w:lineRule="auto"/>
              <w:rPr>
                <w:rFonts w:ascii="Arial" w:hAnsi="Arial"/>
                <w:color w:val="4B4B4B"/>
                <w:sz w:val="11"/>
                <w:szCs w:val="11"/>
              </w:rPr>
            </w:pPr>
            <w:r w:rsidRPr="008A60C1">
              <w:rPr>
                <w:rFonts w:ascii="Arial" w:hAnsi="Arial"/>
                <w:color w:val="4B4B4B"/>
                <w:sz w:val="11"/>
                <w:szCs w:val="11"/>
              </w:rPr>
              <w:t>Fax: +81.3.6743.9800</w:t>
            </w:r>
          </w:p>
        </w:tc>
      </w:tr>
    </w:tbl>
    <w:p w14:paraId="1E95FA08" w14:textId="77777777" w:rsidR="00A02958" w:rsidRDefault="00EE68E0" w:rsidP="00EE68E0">
      <w:pPr>
        <w:tabs>
          <w:tab w:val="right" w:pos="10800"/>
        </w:tabs>
        <w:spacing w:after="0" w:line="240" w:lineRule="auto"/>
        <w:rPr>
          <w:rFonts w:ascii="Arial" w:hAnsi="Arial"/>
          <w:b/>
          <w:color w:val="008D61"/>
          <w:sz w:val="13"/>
          <w:szCs w:val="13"/>
        </w:rPr>
      </w:pPr>
      <w:r w:rsidRPr="00441055">
        <w:rPr>
          <w:rFonts w:ascii="Arial" w:hAnsi="Arial"/>
          <w:b/>
          <w:color w:val="008D61"/>
          <w:sz w:val="13"/>
          <w:szCs w:val="13"/>
        </w:rPr>
        <w:t>TERUMOBCT.COM</w:t>
      </w:r>
    </w:p>
    <w:p w14:paraId="33FD8C9A" w14:textId="67C21C53" w:rsidR="00EE68E0" w:rsidRPr="00EE68E0" w:rsidRDefault="00A02958" w:rsidP="00EE68E0">
      <w:pPr>
        <w:tabs>
          <w:tab w:val="right" w:pos="10800"/>
        </w:tabs>
        <w:spacing w:after="0" w:line="240" w:lineRule="auto"/>
        <w:rPr>
          <w:rFonts w:ascii="Times New Roman" w:eastAsia="Times New Roman" w:hAnsi="Times New Roman" w:cs="Times New Roman"/>
          <w:sz w:val="24"/>
          <w:szCs w:val="24"/>
        </w:rPr>
      </w:pPr>
      <w:r w:rsidRPr="00A02958">
        <w:rPr>
          <w:sz w:val="11"/>
          <w:szCs w:val="11"/>
        </w:rPr>
        <w:t>©2022-2024 Terumo BCT, Inc.</w:t>
      </w:r>
      <w:r w:rsidR="00EE68E0">
        <w:rPr>
          <w:rFonts w:ascii="Arial" w:hAnsi="Arial"/>
          <w:b/>
          <w:color w:val="009A44"/>
          <w:sz w:val="13"/>
          <w:szCs w:val="13"/>
        </w:rPr>
        <w:tab/>
      </w:r>
      <w:r w:rsidR="00FE7D8D" w:rsidRPr="00FE7D8D">
        <w:rPr>
          <w:rFonts w:ascii="Arial" w:eastAsia="Times New Roman" w:hAnsi="Arial" w:cs="Arial"/>
          <w:color w:val="555555"/>
          <w:sz w:val="11"/>
          <w:szCs w:val="11"/>
          <w:shd w:val="clear" w:color="auto" w:fill="FFFFFF"/>
        </w:rPr>
        <w:t>TS-OPTI-</w:t>
      </w:r>
      <w:r>
        <w:rPr>
          <w:rFonts w:ascii="Arial" w:eastAsia="Times New Roman" w:hAnsi="Arial" w:cs="Arial"/>
          <w:color w:val="555555"/>
          <w:sz w:val="11"/>
          <w:szCs w:val="11"/>
          <w:shd w:val="clear" w:color="auto" w:fill="FFFFFF"/>
        </w:rPr>
        <w:t>02275</w:t>
      </w:r>
    </w:p>
    <w:sectPr w:rsidR="00EE68E0" w:rsidRPr="00EE68E0" w:rsidSect="0026507C">
      <w:endnotePr>
        <w:numFmt w:val="decimal"/>
      </w:endnotePr>
      <w:pgSz w:w="11906" w:h="16838"/>
      <w:pgMar w:top="720" w:right="720" w:bottom="288" w:left="720" w:header="0" w:footer="17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35513" w14:textId="77777777" w:rsidR="00FA126B" w:rsidRDefault="00FA126B" w:rsidP="003C2194">
      <w:r>
        <w:separator/>
      </w:r>
    </w:p>
  </w:endnote>
  <w:endnote w:type="continuationSeparator" w:id="0">
    <w:p w14:paraId="5DD465FF" w14:textId="77777777" w:rsidR="00FA126B" w:rsidRDefault="00FA126B" w:rsidP="003C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1043" w14:textId="77777777" w:rsidR="00EE68E0" w:rsidRPr="00EE68E0" w:rsidRDefault="00EE68E0" w:rsidP="00EE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C6D1" w14:textId="77777777" w:rsidR="00FA126B" w:rsidRDefault="00FA126B" w:rsidP="003C2194">
      <w:r>
        <w:separator/>
      </w:r>
    </w:p>
  </w:footnote>
  <w:footnote w:type="continuationSeparator" w:id="0">
    <w:p w14:paraId="7F02892D" w14:textId="77777777" w:rsidR="00FA126B" w:rsidRDefault="00FA126B" w:rsidP="003C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E3F"/>
    <w:multiLevelType w:val="hybridMultilevel"/>
    <w:tmpl w:val="E5DEF4AC"/>
    <w:lvl w:ilvl="0" w:tplc="03A08846">
      <w:start w:val="1"/>
      <w:numFmt w:val="bullet"/>
      <w:lvlText w:val=""/>
      <w:lvlJc w:val="left"/>
      <w:pPr>
        <w:ind w:left="720" w:hanging="360"/>
      </w:pPr>
      <w:rPr>
        <w:rFonts w:ascii="Wingdings" w:hAnsi="Wingdings" w:hint="default"/>
      </w:rPr>
    </w:lvl>
    <w:lvl w:ilvl="1" w:tplc="345AA7F0">
      <w:start w:val="1"/>
      <w:numFmt w:val="bullet"/>
      <w:pStyle w:val="Level1bullet"/>
      <w:lvlText w:val=""/>
      <w:lvlJc w:val="left"/>
      <w:pPr>
        <w:ind w:left="567" w:hanging="283"/>
      </w:pPr>
      <w:rPr>
        <w:rFonts w:ascii="Wingdings" w:hAnsi="Wingdings" w:hint="default"/>
        <w:color w:val="A6A6A6" w:themeColor="background1" w:themeShade="A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55C16"/>
    <w:multiLevelType w:val="hybridMultilevel"/>
    <w:tmpl w:val="90DAA8FA"/>
    <w:lvl w:ilvl="0" w:tplc="FCC239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C4E"/>
    <w:multiLevelType w:val="multilevel"/>
    <w:tmpl w:val="A7F4DE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CF559D"/>
    <w:multiLevelType w:val="multilevel"/>
    <w:tmpl w:val="A7F4DE04"/>
    <w:styleLink w:val="Style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6369F3"/>
    <w:multiLevelType w:val="multilevel"/>
    <w:tmpl w:val="D30C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410C2"/>
    <w:multiLevelType w:val="hybridMultilevel"/>
    <w:tmpl w:val="48D21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64B24"/>
    <w:multiLevelType w:val="multilevel"/>
    <w:tmpl w:val="B0A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857F53"/>
    <w:multiLevelType w:val="hybridMultilevel"/>
    <w:tmpl w:val="3E34B826"/>
    <w:lvl w:ilvl="0" w:tplc="17289E04">
      <w:start w:val="1"/>
      <w:numFmt w:val="bullet"/>
      <w:lvlText w:val=""/>
      <w:lvlJc w:val="left"/>
      <w:pPr>
        <w:ind w:left="720" w:hanging="360"/>
      </w:pPr>
      <w:rPr>
        <w:rFonts w:ascii="Wingdings" w:hAnsi="Wingdings" w:hint="default"/>
      </w:rPr>
    </w:lvl>
    <w:lvl w:ilvl="1" w:tplc="A8843D3C">
      <w:start w:val="1"/>
      <w:numFmt w:val="bullet"/>
      <w:lvlText w:val="o"/>
      <w:lvlJc w:val="left"/>
      <w:pPr>
        <w:ind w:left="1440" w:hanging="360"/>
      </w:pPr>
      <w:rPr>
        <w:rFonts w:ascii="Courier New" w:hAnsi="Courier New" w:hint="default"/>
      </w:rPr>
    </w:lvl>
    <w:lvl w:ilvl="2" w:tplc="BAE8C93A">
      <w:start w:val="1"/>
      <w:numFmt w:val="bullet"/>
      <w:lvlText w:val=""/>
      <w:lvlJc w:val="left"/>
      <w:pPr>
        <w:ind w:left="2160" w:hanging="360"/>
      </w:pPr>
      <w:rPr>
        <w:rFonts w:ascii="Wingdings" w:hAnsi="Wingdings" w:hint="default"/>
      </w:rPr>
    </w:lvl>
    <w:lvl w:ilvl="3" w:tplc="366401A8">
      <w:start w:val="1"/>
      <w:numFmt w:val="bullet"/>
      <w:lvlText w:val=""/>
      <w:lvlJc w:val="left"/>
      <w:pPr>
        <w:ind w:left="2880" w:hanging="360"/>
      </w:pPr>
      <w:rPr>
        <w:rFonts w:ascii="Symbol" w:hAnsi="Symbol" w:hint="default"/>
      </w:rPr>
    </w:lvl>
    <w:lvl w:ilvl="4" w:tplc="07165B5C">
      <w:start w:val="1"/>
      <w:numFmt w:val="bullet"/>
      <w:lvlText w:val="o"/>
      <w:lvlJc w:val="left"/>
      <w:pPr>
        <w:ind w:left="3600" w:hanging="360"/>
      </w:pPr>
      <w:rPr>
        <w:rFonts w:ascii="Courier New" w:hAnsi="Courier New" w:hint="default"/>
      </w:rPr>
    </w:lvl>
    <w:lvl w:ilvl="5" w:tplc="33F00476">
      <w:start w:val="1"/>
      <w:numFmt w:val="bullet"/>
      <w:lvlText w:val=""/>
      <w:lvlJc w:val="left"/>
      <w:pPr>
        <w:ind w:left="4320" w:hanging="360"/>
      </w:pPr>
      <w:rPr>
        <w:rFonts w:ascii="Wingdings" w:hAnsi="Wingdings" w:hint="default"/>
      </w:rPr>
    </w:lvl>
    <w:lvl w:ilvl="6" w:tplc="5AECA33A">
      <w:start w:val="1"/>
      <w:numFmt w:val="bullet"/>
      <w:lvlText w:val=""/>
      <w:lvlJc w:val="left"/>
      <w:pPr>
        <w:ind w:left="5040" w:hanging="360"/>
      </w:pPr>
      <w:rPr>
        <w:rFonts w:ascii="Symbol" w:hAnsi="Symbol" w:hint="default"/>
      </w:rPr>
    </w:lvl>
    <w:lvl w:ilvl="7" w:tplc="7A465D64">
      <w:start w:val="1"/>
      <w:numFmt w:val="bullet"/>
      <w:lvlText w:val="o"/>
      <w:lvlJc w:val="left"/>
      <w:pPr>
        <w:ind w:left="5760" w:hanging="360"/>
      </w:pPr>
      <w:rPr>
        <w:rFonts w:ascii="Courier New" w:hAnsi="Courier New" w:hint="default"/>
      </w:rPr>
    </w:lvl>
    <w:lvl w:ilvl="8" w:tplc="43903A1A">
      <w:start w:val="1"/>
      <w:numFmt w:val="bullet"/>
      <w:lvlText w:val=""/>
      <w:lvlJc w:val="left"/>
      <w:pPr>
        <w:ind w:left="6480" w:hanging="360"/>
      </w:pPr>
      <w:rPr>
        <w:rFonts w:ascii="Wingdings" w:hAnsi="Wingdings" w:hint="default"/>
      </w:rPr>
    </w:lvl>
  </w:abstractNum>
  <w:abstractNum w:abstractNumId="8" w15:restartNumberingAfterBreak="0">
    <w:nsid w:val="184D6A00"/>
    <w:multiLevelType w:val="hybridMultilevel"/>
    <w:tmpl w:val="7CC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07AF"/>
    <w:multiLevelType w:val="hybridMultilevel"/>
    <w:tmpl w:val="9E1C0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05780"/>
    <w:multiLevelType w:val="hybridMultilevel"/>
    <w:tmpl w:val="7068B9D0"/>
    <w:lvl w:ilvl="0" w:tplc="222092AC">
      <w:start w:val="1"/>
      <w:numFmt w:val="decimal"/>
      <w:lvlText w:val="%1"/>
      <w:lvlJc w:val="left"/>
      <w:pPr>
        <w:ind w:left="227" w:hanging="227"/>
      </w:pPr>
      <w:rPr>
        <w:rFonts w:ascii="Arial" w:hAnsi="Arial" w:hint="default"/>
        <w:b w:val="0"/>
        <w:i w:val="0"/>
        <w:caps w:val="0"/>
        <w:strike w:val="0"/>
        <w:dstrike w:val="0"/>
        <w:vanish w:val="0"/>
        <w:color w:val="000000" w:themeColor="text1"/>
        <w:sz w:val="20"/>
        <w:u w:val="none" w:color="000000" w:themeColor="text1"/>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56053"/>
    <w:multiLevelType w:val="hybridMultilevel"/>
    <w:tmpl w:val="93D8683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93A250E"/>
    <w:multiLevelType w:val="hybridMultilevel"/>
    <w:tmpl w:val="A490D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172465"/>
    <w:multiLevelType w:val="multilevel"/>
    <w:tmpl w:val="DDFE0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2715F9"/>
    <w:multiLevelType w:val="multilevel"/>
    <w:tmpl w:val="F7E23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6264EF"/>
    <w:multiLevelType w:val="multilevel"/>
    <w:tmpl w:val="10DC2E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BA2291"/>
    <w:multiLevelType w:val="hybridMultilevel"/>
    <w:tmpl w:val="8EB2A84A"/>
    <w:lvl w:ilvl="0" w:tplc="C3982604">
      <w:start w:val="1"/>
      <w:numFmt w:val="bullet"/>
      <w:lvlText w:val=""/>
      <w:lvlJc w:val="left"/>
      <w:pPr>
        <w:ind w:left="720" w:hanging="360"/>
      </w:pPr>
      <w:rPr>
        <w:rFonts w:ascii="Wingdings" w:hAnsi="Wingdings" w:hint="default"/>
      </w:rPr>
    </w:lvl>
    <w:lvl w:ilvl="1" w:tplc="B15E1A72">
      <w:start w:val="1"/>
      <w:numFmt w:val="bullet"/>
      <w:lvlText w:val="o"/>
      <w:lvlJc w:val="left"/>
      <w:pPr>
        <w:ind w:left="1440" w:hanging="360"/>
      </w:pPr>
      <w:rPr>
        <w:rFonts w:ascii="Courier New" w:hAnsi="Courier New" w:hint="default"/>
      </w:rPr>
    </w:lvl>
    <w:lvl w:ilvl="2" w:tplc="E09AF9C0">
      <w:start w:val="1"/>
      <w:numFmt w:val="bullet"/>
      <w:lvlText w:val=""/>
      <w:lvlJc w:val="left"/>
      <w:pPr>
        <w:ind w:left="2160" w:hanging="360"/>
      </w:pPr>
      <w:rPr>
        <w:rFonts w:ascii="Wingdings" w:hAnsi="Wingdings" w:hint="default"/>
      </w:rPr>
    </w:lvl>
    <w:lvl w:ilvl="3" w:tplc="BD8E75F6">
      <w:start w:val="1"/>
      <w:numFmt w:val="bullet"/>
      <w:lvlText w:val=""/>
      <w:lvlJc w:val="left"/>
      <w:pPr>
        <w:ind w:left="2880" w:hanging="360"/>
      </w:pPr>
      <w:rPr>
        <w:rFonts w:ascii="Symbol" w:hAnsi="Symbol" w:hint="default"/>
      </w:rPr>
    </w:lvl>
    <w:lvl w:ilvl="4" w:tplc="F4F4DF2E">
      <w:start w:val="1"/>
      <w:numFmt w:val="bullet"/>
      <w:lvlText w:val="o"/>
      <w:lvlJc w:val="left"/>
      <w:pPr>
        <w:ind w:left="3600" w:hanging="360"/>
      </w:pPr>
      <w:rPr>
        <w:rFonts w:ascii="Courier New" w:hAnsi="Courier New" w:hint="default"/>
      </w:rPr>
    </w:lvl>
    <w:lvl w:ilvl="5" w:tplc="83908EAC">
      <w:start w:val="1"/>
      <w:numFmt w:val="bullet"/>
      <w:lvlText w:val=""/>
      <w:lvlJc w:val="left"/>
      <w:pPr>
        <w:ind w:left="4320" w:hanging="360"/>
      </w:pPr>
      <w:rPr>
        <w:rFonts w:ascii="Wingdings" w:hAnsi="Wingdings" w:hint="default"/>
      </w:rPr>
    </w:lvl>
    <w:lvl w:ilvl="6" w:tplc="F118BF3C">
      <w:start w:val="1"/>
      <w:numFmt w:val="bullet"/>
      <w:lvlText w:val=""/>
      <w:lvlJc w:val="left"/>
      <w:pPr>
        <w:ind w:left="5040" w:hanging="360"/>
      </w:pPr>
      <w:rPr>
        <w:rFonts w:ascii="Symbol" w:hAnsi="Symbol" w:hint="default"/>
      </w:rPr>
    </w:lvl>
    <w:lvl w:ilvl="7" w:tplc="EE0CF424">
      <w:start w:val="1"/>
      <w:numFmt w:val="bullet"/>
      <w:lvlText w:val="o"/>
      <w:lvlJc w:val="left"/>
      <w:pPr>
        <w:ind w:left="5760" w:hanging="360"/>
      </w:pPr>
      <w:rPr>
        <w:rFonts w:ascii="Courier New" w:hAnsi="Courier New" w:hint="default"/>
      </w:rPr>
    </w:lvl>
    <w:lvl w:ilvl="8" w:tplc="93C8D72C">
      <w:start w:val="1"/>
      <w:numFmt w:val="bullet"/>
      <w:lvlText w:val=""/>
      <w:lvlJc w:val="left"/>
      <w:pPr>
        <w:ind w:left="6480" w:hanging="360"/>
      </w:pPr>
      <w:rPr>
        <w:rFonts w:ascii="Wingdings" w:hAnsi="Wingdings" w:hint="default"/>
      </w:rPr>
    </w:lvl>
  </w:abstractNum>
  <w:abstractNum w:abstractNumId="17" w15:restartNumberingAfterBreak="0">
    <w:nsid w:val="514B6F5A"/>
    <w:multiLevelType w:val="hybridMultilevel"/>
    <w:tmpl w:val="539C1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84A7C"/>
    <w:multiLevelType w:val="hybridMultilevel"/>
    <w:tmpl w:val="621C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41390E"/>
    <w:multiLevelType w:val="hybridMultilevel"/>
    <w:tmpl w:val="27CC1D20"/>
    <w:lvl w:ilvl="0" w:tplc="222092AC">
      <w:start w:val="1"/>
      <w:numFmt w:val="decimal"/>
      <w:lvlText w:val="%1"/>
      <w:lvlJc w:val="left"/>
      <w:pPr>
        <w:ind w:left="227" w:hanging="227"/>
      </w:pPr>
      <w:rPr>
        <w:rFonts w:ascii="Arial" w:hAnsi="Arial" w:hint="default"/>
        <w:b w:val="0"/>
        <w:i w:val="0"/>
        <w:caps w:val="0"/>
        <w:strike w:val="0"/>
        <w:dstrike w:val="0"/>
        <w:vanish w:val="0"/>
        <w:color w:val="000000" w:themeColor="text1"/>
        <w:sz w:val="20"/>
        <w:u w:val="none" w:color="000000" w:themeColor="text1"/>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490D22"/>
    <w:multiLevelType w:val="multilevel"/>
    <w:tmpl w:val="E61C4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DF6E75"/>
    <w:multiLevelType w:val="hybridMultilevel"/>
    <w:tmpl w:val="981C0C9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0BE6697"/>
    <w:multiLevelType w:val="hybridMultilevel"/>
    <w:tmpl w:val="E61C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554EA"/>
    <w:multiLevelType w:val="multilevel"/>
    <w:tmpl w:val="BA003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6C195C"/>
    <w:multiLevelType w:val="hybridMultilevel"/>
    <w:tmpl w:val="0FB60268"/>
    <w:lvl w:ilvl="0" w:tplc="AADE7ED4">
      <w:start w:val="1"/>
      <w:numFmt w:val="bullet"/>
      <w:lvlText w:val=""/>
      <w:lvlJc w:val="left"/>
      <w:pPr>
        <w:ind w:left="720" w:hanging="360"/>
      </w:pPr>
      <w:rPr>
        <w:rFonts w:ascii="Wingdings" w:hAnsi="Wingdings" w:hint="default"/>
      </w:rPr>
    </w:lvl>
    <w:lvl w:ilvl="1" w:tplc="E89652D6">
      <w:start w:val="1"/>
      <w:numFmt w:val="bullet"/>
      <w:lvlText w:val="o"/>
      <w:lvlJc w:val="left"/>
      <w:pPr>
        <w:ind w:left="1440" w:hanging="360"/>
      </w:pPr>
      <w:rPr>
        <w:rFonts w:ascii="Courier New" w:hAnsi="Courier New" w:hint="default"/>
      </w:rPr>
    </w:lvl>
    <w:lvl w:ilvl="2" w:tplc="49CEB744">
      <w:start w:val="1"/>
      <w:numFmt w:val="bullet"/>
      <w:lvlText w:val=""/>
      <w:lvlJc w:val="left"/>
      <w:pPr>
        <w:ind w:left="2160" w:hanging="360"/>
      </w:pPr>
      <w:rPr>
        <w:rFonts w:ascii="Wingdings" w:hAnsi="Wingdings" w:hint="default"/>
      </w:rPr>
    </w:lvl>
    <w:lvl w:ilvl="3" w:tplc="39EC6528">
      <w:start w:val="1"/>
      <w:numFmt w:val="bullet"/>
      <w:lvlText w:val=""/>
      <w:lvlJc w:val="left"/>
      <w:pPr>
        <w:ind w:left="2880" w:hanging="360"/>
      </w:pPr>
      <w:rPr>
        <w:rFonts w:ascii="Symbol" w:hAnsi="Symbol" w:hint="default"/>
      </w:rPr>
    </w:lvl>
    <w:lvl w:ilvl="4" w:tplc="1D384A22">
      <w:start w:val="1"/>
      <w:numFmt w:val="bullet"/>
      <w:lvlText w:val="o"/>
      <w:lvlJc w:val="left"/>
      <w:pPr>
        <w:ind w:left="3600" w:hanging="360"/>
      </w:pPr>
      <w:rPr>
        <w:rFonts w:ascii="Courier New" w:hAnsi="Courier New" w:hint="default"/>
      </w:rPr>
    </w:lvl>
    <w:lvl w:ilvl="5" w:tplc="93187A18">
      <w:start w:val="1"/>
      <w:numFmt w:val="bullet"/>
      <w:lvlText w:val=""/>
      <w:lvlJc w:val="left"/>
      <w:pPr>
        <w:ind w:left="4320" w:hanging="360"/>
      </w:pPr>
      <w:rPr>
        <w:rFonts w:ascii="Wingdings" w:hAnsi="Wingdings" w:hint="default"/>
      </w:rPr>
    </w:lvl>
    <w:lvl w:ilvl="6" w:tplc="8CFE7554">
      <w:start w:val="1"/>
      <w:numFmt w:val="bullet"/>
      <w:lvlText w:val=""/>
      <w:lvlJc w:val="left"/>
      <w:pPr>
        <w:ind w:left="5040" w:hanging="360"/>
      </w:pPr>
      <w:rPr>
        <w:rFonts w:ascii="Symbol" w:hAnsi="Symbol" w:hint="default"/>
      </w:rPr>
    </w:lvl>
    <w:lvl w:ilvl="7" w:tplc="A33246E4">
      <w:start w:val="1"/>
      <w:numFmt w:val="bullet"/>
      <w:lvlText w:val="o"/>
      <w:lvlJc w:val="left"/>
      <w:pPr>
        <w:ind w:left="5760" w:hanging="360"/>
      </w:pPr>
      <w:rPr>
        <w:rFonts w:ascii="Courier New" w:hAnsi="Courier New" w:hint="default"/>
      </w:rPr>
    </w:lvl>
    <w:lvl w:ilvl="8" w:tplc="2EBEA70C">
      <w:start w:val="1"/>
      <w:numFmt w:val="bullet"/>
      <w:lvlText w:val=""/>
      <w:lvlJc w:val="left"/>
      <w:pPr>
        <w:ind w:left="6480" w:hanging="360"/>
      </w:pPr>
      <w:rPr>
        <w:rFonts w:ascii="Wingdings" w:hAnsi="Wingdings" w:hint="default"/>
      </w:rPr>
    </w:lvl>
  </w:abstractNum>
  <w:abstractNum w:abstractNumId="25" w15:restartNumberingAfterBreak="0">
    <w:nsid w:val="76852533"/>
    <w:multiLevelType w:val="multilevel"/>
    <w:tmpl w:val="AA3A1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F7280"/>
    <w:multiLevelType w:val="hybridMultilevel"/>
    <w:tmpl w:val="DE66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5224E"/>
    <w:multiLevelType w:val="hybridMultilevel"/>
    <w:tmpl w:val="34342F70"/>
    <w:lvl w:ilvl="0" w:tplc="3F9EFC00">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8" w15:restartNumberingAfterBreak="0">
    <w:nsid w:val="7B1C36A2"/>
    <w:multiLevelType w:val="hybridMultilevel"/>
    <w:tmpl w:val="0D4ECCE2"/>
    <w:lvl w:ilvl="0" w:tplc="7F5A2948">
      <w:start w:val="1"/>
      <w:numFmt w:val="bullet"/>
      <w:lvlText w:val=""/>
      <w:lvlJc w:val="left"/>
      <w:pPr>
        <w:tabs>
          <w:tab w:val="num" w:pos="227"/>
        </w:tabs>
        <w:ind w:left="227" w:hanging="227"/>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766530">
    <w:abstractNumId w:val="16"/>
  </w:num>
  <w:num w:numId="2" w16cid:durableId="589968025">
    <w:abstractNumId w:val="7"/>
  </w:num>
  <w:num w:numId="3" w16cid:durableId="648288721">
    <w:abstractNumId w:val="24"/>
  </w:num>
  <w:num w:numId="4" w16cid:durableId="1482041704">
    <w:abstractNumId w:val="27"/>
  </w:num>
  <w:num w:numId="5" w16cid:durableId="963458998">
    <w:abstractNumId w:val="22"/>
  </w:num>
  <w:num w:numId="6" w16cid:durableId="733283831">
    <w:abstractNumId w:val="20"/>
  </w:num>
  <w:num w:numId="7" w16cid:durableId="852646106">
    <w:abstractNumId w:val="0"/>
  </w:num>
  <w:num w:numId="8" w16cid:durableId="1797945254">
    <w:abstractNumId w:val="28"/>
  </w:num>
  <w:num w:numId="9" w16cid:durableId="2047950412">
    <w:abstractNumId w:val="17"/>
  </w:num>
  <w:num w:numId="10" w16cid:durableId="1555193929">
    <w:abstractNumId w:val="18"/>
  </w:num>
  <w:num w:numId="11" w16cid:durableId="725686143">
    <w:abstractNumId w:val="5"/>
  </w:num>
  <w:num w:numId="12" w16cid:durableId="1273900745">
    <w:abstractNumId w:val="26"/>
  </w:num>
  <w:num w:numId="13" w16cid:durableId="288904686">
    <w:abstractNumId w:val="3"/>
  </w:num>
  <w:num w:numId="14" w16cid:durableId="1755778079">
    <w:abstractNumId w:val="2"/>
  </w:num>
  <w:num w:numId="15" w16cid:durableId="1398747261">
    <w:abstractNumId w:val="10"/>
  </w:num>
  <w:num w:numId="16" w16cid:durableId="1738897937">
    <w:abstractNumId w:val="19"/>
  </w:num>
  <w:num w:numId="17" w16cid:durableId="1013799135">
    <w:abstractNumId w:val="6"/>
  </w:num>
  <w:num w:numId="18" w16cid:durableId="1458916872">
    <w:abstractNumId w:val="9"/>
  </w:num>
  <w:num w:numId="19" w16cid:durableId="1165242110">
    <w:abstractNumId w:val="1"/>
  </w:num>
  <w:num w:numId="20" w16cid:durableId="802770790">
    <w:abstractNumId w:val="12"/>
  </w:num>
  <w:num w:numId="21" w16cid:durableId="609550497">
    <w:abstractNumId w:val="11"/>
  </w:num>
  <w:num w:numId="22" w16cid:durableId="1755544459">
    <w:abstractNumId w:val="4"/>
  </w:num>
  <w:num w:numId="23" w16cid:durableId="994990653">
    <w:abstractNumId w:val="8"/>
  </w:num>
  <w:num w:numId="24" w16cid:durableId="1195118005">
    <w:abstractNumId w:val="13"/>
  </w:num>
  <w:num w:numId="25" w16cid:durableId="1225216591">
    <w:abstractNumId w:val="25"/>
  </w:num>
  <w:num w:numId="26" w16cid:durableId="456220421">
    <w:abstractNumId w:val="14"/>
  </w:num>
  <w:num w:numId="27" w16cid:durableId="1313872785">
    <w:abstractNumId w:val="21"/>
  </w:num>
  <w:num w:numId="28" w16cid:durableId="1774782657">
    <w:abstractNumId w:val="15"/>
  </w:num>
  <w:num w:numId="29" w16cid:durableId="1622302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54"/>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0D"/>
    <w:rsid w:val="00025707"/>
    <w:rsid w:val="00032A2D"/>
    <w:rsid w:val="00033BAB"/>
    <w:rsid w:val="00094D31"/>
    <w:rsid w:val="000A5B2D"/>
    <w:rsid w:val="000B3CBC"/>
    <w:rsid w:val="00103D2E"/>
    <w:rsid w:val="00112B5F"/>
    <w:rsid w:val="001256A1"/>
    <w:rsid w:val="00160DAC"/>
    <w:rsid w:val="00167ACC"/>
    <w:rsid w:val="00177FB1"/>
    <w:rsid w:val="00194A0D"/>
    <w:rsid w:val="001962BE"/>
    <w:rsid w:val="00197138"/>
    <w:rsid w:val="001D20E3"/>
    <w:rsid w:val="001F0926"/>
    <w:rsid w:val="001F365B"/>
    <w:rsid w:val="00215C4D"/>
    <w:rsid w:val="00225493"/>
    <w:rsid w:val="00227E0D"/>
    <w:rsid w:val="00242A7B"/>
    <w:rsid w:val="0026507C"/>
    <w:rsid w:val="0026607D"/>
    <w:rsid w:val="00286C65"/>
    <w:rsid w:val="002A0B24"/>
    <w:rsid w:val="002C5B68"/>
    <w:rsid w:val="002D70A5"/>
    <w:rsid w:val="002E39C9"/>
    <w:rsid w:val="002E71B8"/>
    <w:rsid w:val="002F4AF1"/>
    <w:rsid w:val="00301D03"/>
    <w:rsid w:val="0032152B"/>
    <w:rsid w:val="00333548"/>
    <w:rsid w:val="00343741"/>
    <w:rsid w:val="00352517"/>
    <w:rsid w:val="00360C76"/>
    <w:rsid w:val="00362C4C"/>
    <w:rsid w:val="00366EDD"/>
    <w:rsid w:val="0037238C"/>
    <w:rsid w:val="0037552F"/>
    <w:rsid w:val="003A0A5D"/>
    <w:rsid w:val="003B3058"/>
    <w:rsid w:val="003C2194"/>
    <w:rsid w:val="003C3A5F"/>
    <w:rsid w:val="003C4C9F"/>
    <w:rsid w:val="003D2DB6"/>
    <w:rsid w:val="003D676A"/>
    <w:rsid w:val="003E3AD0"/>
    <w:rsid w:val="003F6665"/>
    <w:rsid w:val="00420E2E"/>
    <w:rsid w:val="00430FF1"/>
    <w:rsid w:val="00440108"/>
    <w:rsid w:val="0046136D"/>
    <w:rsid w:val="00463904"/>
    <w:rsid w:val="0047087C"/>
    <w:rsid w:val="00481145"/>
    <w:rsid w:val="00486B7F"/>
    <w:rsid w:val="004A119E"/>
    <w:rsid w:val="004B6B6B"/>
    <w:rsid w:val="004C44EA"/>
    <w:rsid w:val="004E4DAB"/>
    <w:rsid w:val="004F080F"/>
    <w:rsid w:val="004F18A2"/>
    <w:rsid w:val="00506801"/>
    <w:rsid w:val="00506D40"/>
    <w:rsid w:val="00517521"/>
    <w:rsid w:val="00530BD4"/>
    <w:rsid w:val="00532911"/>
    <w:rsid w:val="00571C52"/>
    <w:rsid w:val="00571E71"/>
    <w:rsid w:val="00580E4A"/>
    <w:rsid w:val="0059188A"/>
    <w:rsid w:val="00593581"/>
    <w:rsid w:val="00595F39"/>
    <w:rsid w:val="005D751C"/>
    <w:rsid w:val="005F2156"/>
    <w:rsid w:val="005F2E8E"/>
    <w:rsid w:val="005F6794"/>
    <w:rsid w:val="00653455"/>
    <w:rsid w:val="00692A78"/>
    <w:rsid w:val="006D60AD"/>
    <w:rsid w:val="006D74A3"/>
    <w:rsid w:val="00703787"/>
    <w:rsid w:val="00704279"/>
    <w:rsid w:val="00712572"/>
    <w:rsid w:val="00714A82"/>
    <w:rsid w:val="00721CB3"/>
    <w:rsid w:val="00750722"/>
    <w:rsid w:val="00752ECB"/>
    <w:rsid w:val="0076569C"/>
    <w:rsid w:val="007734E4"/>
    <w:rsid w:val="007815C9"/>
    <w:rsid w:val="00790E40"/>
    <w:rsid w:val="007A43D7"/>
    <w:rsid w:val="007A4E15"/>
    <w:rsid w:val="007B2157"/>
    <w:rsid w:val="007B585E"/>
    <w:rsid w:val="007B6DC5"/>
    <w:rsid w:val="007C11E6"/>
    <w:rsid w:val="007C59E2"/>
    <w:rsid w:val="007F0F97"/>
    <w:rsid w:val="008077F2"/>
    <w:rsid w:val="00812D80"/>
    <w:rsid w:val="00823B62"/>
    <w:rsid w:val="00840021"/>
    <w:rsid w:val="00870A98"/>
    <w:rsid w:val="0088240A"/>
    <w:rsid w:val="00892875"/>
    <w:rsid w:val="008B1629"/>
    <w:rsid w:val="008B5BFF"/>
    <w:rsid w:val="008C054D"/>
    <w:rsid w:val="00905C1A"/>
    <w:rsid w:val="00906CA7"/>
    <w:rsid w:val="00914BC7"/>
    <w:rsid w:val="00926740"/>
    <w:rsid w:val="0093141F"/>
    <w:rsid w:val="0093241C"/>
    <w:rsid w:val="00977E5A"/>
    <w:rsid w:val="009858B6"/>
    <w:rsid w:val="009A09DB"/>
    <w:rsid w:val="009A6969"/>
    <w:rsid w:val="009B30A6"/>
    <w:rsid w:val="009C2FAB"/>
    <w:rsid w:val="009E2E51"/>
    <w:rsid w:val="009E544A"/>
    <w:rsid w:val="009E5A7E"/>
    <w:rsid w:val="009F3097"/>
    <w:rsid w:val="00A02958"/>
    <w:rsid w:val="00A4649B"/>
    <w:rsid w:val="00A53E88"/>
    <w:rsid w:val="00A62037"/>
    <w:rsid w:val="00A70539"/>
    <w:rsid w:val="00A942ED"/>
    <w:rsid w:val="00A9695F"/>
    <w:rsid w:val="00AB17DF"/>
    <w:rsid w:val="00AB4471"/>
    <w:rsid w:val="00AC0179"/>
    <w:rsid w:val="00AC7BFF"/>
    <w:rsid w:val="00AD4F4A"/>
    <w:rsid w:val="00AD66CF"/>
    <w:rsid w:val="00AE5F53"/>
    <w:rsid w:val="00AF3071"/>
    <w:rsid w:val="00B12B46"/>
    <w:rsid w:val="00B248BF"/>
    <w:rsid w:val="00B300DB"/>
    <w:rsid w:val="00B314E1"/>
    <w:rsid w:val="00B42917"/>
    <w:rsid w:val="00B429C4"/>
    <w:rsid w:val="00B42F84"/>
    <w:rsid w:val="00B72C5E"/>
    <w:rsid w:val="00BA7E2D"/>
    <w:rsid w:val="00BB0256"/>
    <w:rsid w:val="00BE59ED"/>
    <w:rsid w:val="00BF6313"/>
    <w:rsid w:val="00C077E1"/>
    <w:rsid w:val="00C07DAE"/>
    <w:rsid w:val="00C233A5"/>
    <w:rsid w:val="00C31590"/>
    <w:rsid w:val="00C36B69"/>
    <w:rsid w:val="00C64311"/>
    <w:rsid w:val="00C731F4"/>
    <w:rsid w:val="00C83202"/>
    <w:rsid w:val="00C96B93"/>
    <w:rsid w:val="00CA10F1"/>
    <w:rsid w:val="00CA36EA"/>
    <w:rsid w:val="00CC5C29"/>
    <w:rsid w:val="00CE47CA"/>
    <w:rsid w:val="00D05022"/>
    <w:rsid w:val="00D058F8"/>
    <w:rsid w:val="00D1166D"/>
    <w:rsid w:val="00D31034"/>
    <w:rsid w:val="00D746CF"/>
    <w:rsid w:val="00DA6EAA"/>
    <w:rsid w:val="00DB2590"/>
    <w:rsid w:val="00DB5B64"/>
    <w:rsid w:val="00DC7BD1"/>
    <w:rsid w:val="00DD1424"/>
    <w:rsid w:val="00DD6EEE"/>
    <w:rsid w:val="00DF5CC7"/>
    <w:rsid w:val="00E1289C"/>
    <w:rsid w:val="00E245EF"/>
    <w:rsid w:val="00E444E2"/>
    <w:rsid w:val="00E72064"/>
    <w:rsid w:val="00E939BA"/>
    <w:rsid w:val="00EB23C6"/>
    <w:rsid w:val="00EB7A82"/>
    <w:rsid w:val="00EC54B8"/>
    <w:rsid w:val="00ED33C5"/>
    <w:rsid w:val="00ED4E00"/>
    <w:rsid w:val="00EE49C6"/>
    <w:rsid w:val="00EE68E0"/>
    <w:rsid w:val="00F03842"/>
    <w:rsid w:val="00F04687"/>
    <w:rsid w:val="00F151EE"/>
    <w:rsid w:val="00F214E2"/>
    <w:rsid w:val="00F4605F"/>
    <w:rsid w:val="00F633C6"/>
    <w:rsid w:val="00F63AED"/>
    <w:rsid w:val="00F813B1"/>
    <w:rsid w:val="00F83915"/>
    <w:rsid w:val="00F93C4F"/>
    <w:rsid w:val="00FA0B34"/>
    <w:rsid w:val="00FA126B"/>
    <w:rsid w:val="00FA1C6C"/>
    <w:rsid w:val="00FA2496"/>
    <w:rsid w:val="00FB2405"/>
    <w:rsid w:val="00FB4CC3"/>
    <w:rsid w:val="00FC1768"/>
    <w:rsid w:val="00FC6985"/>
    <w:rsid w:val="00FD1107"/>
    <w:rsid w:val="00FE7D8D"/>
    <w:rsid w:val="010E4CAE"/>
    <w:rsid w:val="01341C5B"/>
    <w:rsid w:val="015B4ECD"/>
    <w:rsid w:val="026E70C5"/>
    <w:rsid w:val="02CFECBC"/>
    <w:rsid w:val="03B89AFB"/>
    <w:rsid w:val="03B9B5D8"/>
    <w:rsid w:val="03F6C03C"/>
    <w:rsid w:val="0431C6CF"/>
    <w:rsid w:val="046BBD1D"/>
    <w:rsid w:val="0496E11F"/>
    <w:rsid w:val="05B46ED3"/>
    <w:rsid w:val="06078D7E"/>
    <w:rsid w:val="0675AFD8"/>
    <w:rsid w:val="06807089"/>
    <w:rsid w:val="06C43BA5"/>
    <w:rsid w:val="076C9957"/>
    <w:rsid w:val="07D1E678"/>
    <w:rsid w:val="09A3B118"/>
    <w:rsid w:val="0A120AF8"/>
    <w:rsid w:val="0B19E5C1"/>
    <w:rsid w:val="0BC4B4D8"/>
    <w:rsid w:val="0DBF80B8"/>
    <w:rsid w:val="0E4F76B3"/>
    <w:rsid w:val="0F142759"/>
    <w:rsid w:val="1189DE72"/>
    <w:rsid w:val="1336C8D1"/>
    <w:rsid w:val="14B60D17"/>
    <w:rsid w:val="15377619"/>
    <w:rsid w:val="16C1E9A7"/>
    <w:rsid w:val="16D3467A"/>
    <w:rsid w:val="173FA01A"/>
    <w:rsid w:val="184FA60B"/>
    <w:rsid w:val="1A7C7706"/>
    <w:rsid w:val="1B1A5017"/>
    <w:rsid w:val="1B3F2BFE"/>
    <w:rsid w:val="1D303162"/>
    <w:rsid w:val="1DDD9208"/>
    <w:rsid w:val="1E877F3D"/>
    <w:rsid w:val="1E8E60E2"/>
    <w:rsid w:val="1F796269"/>
    <w:rsid w:val="211532CA"/>
    <w:rsid w:val="2246B549"/>
    <w:rsid w:val="2249DC77"/>
    <w:rsid w:val="22A74306"/>
    <w:rsid w:val="23E5EECB"/>
    <w:rsid w:val="256F8280"/>
    <w:rsid w:val="2623BD42"/>
    <w:rsid w:val="2636D96B"/>
    <w:rsid w:val="27A326BE"/>
    <w:rsid w:val="29CFF52F"/>
    <w:rsid w:val="29E8757E"/>
    <w:rsid w:val="2A190261"/>
    <w:rsid w:val="2A4DFDF0"/>
    <w:rsid w:val="2B0AFB60"/>
    <w:rsid w:val="2D106232"/>
    <w:rsid w:val="2F770A8A"/>
    <w:rsid w:val="30B84881"/>
    <w:rsid w:val="30E73DC1"/>
    <w:rsid w:val="3323070C"/>
    <w:rsid w:val="3376F896"/>
    <w:rsid w:val="33F5B5F5"/>
    <w:rsid w:val="3412A5B7"/>
    <w:rsid w:val="34DD8E75"/>
    <w:rsid w:val="351417AC"/>
    <w:rsid w:val="3520AAE9"/>
    <w:rsid w:val="353014E0"/>
    <w:rsid w:val="355E7250"/>
    <w:rsid w:val="3590B097"/>
    <w:rsid w:val="374D7C4C"/>
    <w:rsid w:val="3A7911BC"/>
    <w:rsid w:val="3C00C601"/>
    <w:rsid w:val="3C322534"/>
    <w:rsid w:val="3DEBA5E6"/>
    <w:rsid w:val="3EE7A5F8"/>
    <w:rsid w:val="4048845F"/>
    <w:rsid w:val="40F05F71"/>
    <w:rsid w:val="4160B695"/>
    <w:rsid w:val="42F04678"/>
    <w:rsid w:val="4400B995"/>
    <w:rsid w:val="457ABFC0"/>
    <w:rsid w:val="465B9F4A"/>
    <w:rsid w:val="4799381B"/>
    <w:rsid w:val="48373B9B"/>
    <w:rsid w:val="4851845F"/>
    <w:rsid w:val="48949B36"/>
    <w:rsid w:val="48DDF02C"/>
    <w:rsid w:val="495B7C9C"/>
    <w:rsid w:val="4993400C"/>
    <w:rsid w:val="4A289B5C"/>
    <w:rsid w:val="4AB1D572"/>
    <w:rsid w:val="4B987CC0"/>
    <w:rsid w:val="4C3D8E59"/>
    <w:rsid w:val="4CCAE0CE"/>
    <w:rsid w:val="4CF673EB"/>
    <w:rsid w:val="4D44EB64"/>
    <w:rsid w:val="4E364F16"/>
    <w:rsid w:val="4EF103B4"/>
    <w:rsid w:val="4F873CD3"/>
    <w:rsid w:val="4FF18CB5"/>
    <w:rsid w:val="5021B0F1"/>
    <w:rsid w:val="503D413F"/>
    <w:rsid w:val="508105F0"/>
    <w:rsid w:val="50958AE9"/>
    <w:rsid w:val="509FB64D"/>
    <w:rsid w:val="50F51EC5"/>
    <w:rsid w:val="518D5D16"/>
    <w:rsid w:val="52F0709E"/>
    <w:rsid w:val="54A3435C"/>
    <w:rsid w:val="55F2E74E"/>
    <w:rsid w:val="561127E5"/>
    <w:rsid w:val="56BADD50"/>
    <w:rsid w:val="56C67D3C"/>
    <w:rsid w:val="56E2ED3C"/>
    <w:rsid w:val="587EBD9D"/>
    <w:rsid w:val="58AFE258"/>
    <w:rsid w:val="5946A3C6"/>
    <w:rsid w:val="59D9F8C0"/>
    <w:rsid w:val="5B262FED"/>
    <w:rsid w:val="5B35DD6A"/>
    <w:rsid w:val="5B3F5A8E"/>
    <w:rsid w:val="5BEA4D48"/>
    <w:rsid w:val="5CB3E15F"/>
    <w:rsid w:val="5D2C32A8"/>
    <w:rsid w:val="5D5AE594"/>
    <w:rsid w:val="5D9D310E"/>
    <w:rsid w:val="5FF200CC"/>
    <w:rsid w:val="602A833C"/>
    <w:rsid w:val="6064280E"/>
    <w:rsid w:val="617A43E8"/>
    <w:rsid w:val="619B0783"/>
    <w:rsid w:val="619C73CE"/>
    <w:rsid w:val="620E43FC"/>
    <w:rsid w:val="624293FE"/>
    <w:rsid w:val="6352A301"/>
    <w:rsid w:val="6466B18E"/>
    <w:rsid w:val="64EE7362"/>
    <w:rsid w:val="65BEA4C3"/>
    <w:rsid w:val="660281EF"/>
    <w:rsid w:val="667D4AF7"/>
    <w:rsid w:val="669C7BB4"/>
    <w:rsid w:val="66D00E9B"/>
    <w:rsid w:val="67092BEF"/>
    <w:rsid w:val="682184A0"/>
    <w:rsid w:val="693A22B1"/>
    <w:rsid w:val="6A77933B"/>
    <w:rsid w:val="6AC8E3EE"/>
    <w:rsid w:val="6BDFE889"/>
    <w:rsid w:val="6E429686"/>
    <w:rsid w:val="6E546EEE"/>
    <w:rsid w:val="6F14C745"/>
    <w:rsid w:val="6F784045"/>
    <w:rsid w:val="6FE81FCE"/>
    <w:rsid w:val="7040A3BE"/>
    <w:rsid w:val="70678E40"/>
    <w:rsid w:val="71AE7CCB"/>
    <w:rsid w:val="729A9B26"/>
    <w:rsid w:val="72D3BD7D"/>
    <w:rsid w:val="731A8D23"/>
    <w:rsid w:val="734A4D2C"/>
    <w:rsid w:val="74A74DBC"/>
    <w:rsid w:val="74D21364"/>
    <w:rsid w:val="7512FAB0"/>
    <w:rsid w:val="757D46C8"/>
    <w:rsid w:val="75C383DC"/>
    <w:rsid w:val="76230800"/>
    <w:rsid w:val="77FB5134"/>
    <w:rsid w:val="791C6325"/>
    <w:rsid w:val="795D6FBF"/>
    <w:rsid w:val="7A1BFBFE"/>
    <w:rsid w:val="7AC4DAD6"/>
    <w:rsid w:val="7C7D1F19"/>
    <w:rsid w:val="7C979915"/>
    <w:rsid w:val="7CD3E9E2"/>
    <w:rsid w:val="7DFC7B98"/>
    <w:rsid w:val="7E336976"/>
    <w:rsid w:val="7E67F0E8"/>
    <w:rsid w:val="7FB2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2FC0C"/>
  <w14:defaultImageDpi w14:val="32767"/>
  <w15:chartTrackingRefBased/>
  <w15:docId w15:val="{EEADFC1F-36BD-4844-B802-0014196B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0E4A"/>
    <w:pPr>
      <w:spacing w:after="120" w:line="280" w:lineRule="exact"/>
      <w:ind w:right="590"/>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590"/>
    <w:pPr>
      <w:ind w:left="720"/>
      <w:contextualSpacing/>
    </w:pPr>
  </w:style>
  <w:style w:type="paragraph" w:customStyle="1" w:styleId="MainHeadline">
    <w:name w:val="Main Headline"/>
    <w:basedOn w:val="Normal"/>
    <w:autoRedefine/>
    <w:qFormat/>
    <w:rsid w:val="009A6969"/>
    <w:pPr>
      <w:spacing w:line="520" w:lineRule="exact"/>
      <w:ind w:right="3566"/>
    </w:pPr>
    <w:rPr>
      <w:rFonts w:asciiTheme="majorHAnsi" w:eastAsia="Times New Roman" w:hAnsiTheme="majorHAnsi" w:cstheme="majorHAnsi"/>
      <w:b/>
      <w:bCs/>
      <w:color w:val="000000"/>
      <w:sz w:val="48"/>
      <w:szCs w:val="48"/>
      <w:shd w:val="clear" w:color="auto" w:fill="FFFFFF"/>
    </w:rPr>
  </w:style>
  <w:style w:type="paragraph" w:styleId="Subtitle">
    <w:name w:val="Subtitle"/>
    <w:aliases w:val="Dateline"/>
    <w:basedOn w:val="Normal"/>
    <w:next w:val="Normal"/>
    <w:link w:val="SubtitleChar"/>
    <w:autoRedefine/>
    <w:uiPriority w:val="11"/>
    <w:qFormat/>
    <w:rsid w:val="00F03842"/>
    <w:pPr>
      <w:tabs>
        <w:tab w:val="left" w:pos="2456"/>
      </w:tabs>
    </w:pPr>
    <w:rPr>
      <w:color w:val="BFBFBF" w:themeColor="background1" w:themeShade="BF"/>
    </w:rPr>
  </w:style>
  <w:style w:type="character" w:customStyle="1" w:styleId="SubtitleChar">
    <w:name w:val="Subtitle Char"/>
    <w:aliases w:val="Dateline Char"/>
    <w:basedOn w:val="DefaultParagraphFont"/>
    <w:link w:val="Subtitle"/>
    <w:uiPriority w:val="11"/>
    <w:rsid w:val="00F03842"/>
    <w:rPr>
      <w:rFonts w:eastAsiaTheme="minorEastAsia"/>
      <w:color w:val="BFBFBF" w:themeColor="background1" w:themeShade="BF"/>
      <w:sz w:val="20"/>
      <w:szCs w:val="20"/>
    </w:rPr>
  </w:style>
  <w:style w:type="paragraph" w:styleId="FootnoteText">
    <w:name w:val="footnote text"/>
    <w:basedOn w:val="Normal"/>
    <w:link w:val="FootnoteTextChar"/>
    <w:uiPriority w:val="99"/>
    <w:semiHidden/>
    <w:unhideWhenUsed/>
    <w:rsid w:val="003C2194"/>
    <w:pPr>
      <w:spacing w:after="0" w:line="240" w:lineRule="auto"/>
    </w:pPr>
  </w:style>
  <w:style w:type="numbering" w:customStyle="1" w:styleId="Style1">
    <w:name w:val="Style1"/>
    <w:basedOn w:val="NoList"/>
    <w:uiPriority w:val="99"/>
    <w:rsid w:val="001F0926"/>
    <w:pPr>
      <w:numPr>
        <w:numId w:val="13"/>
      </w:numPr>
    </w:pPr>
  </w:style>
  <w:style w:type="paragraph" w:styleId="Header">
    <w:name w:val="header"/>
    <w:basedOn w:val="Normal"/>
    <w:link w:val="HeaderChar"/>
    <w:uiPriority w:val="99"/>
    <w:unhideWhenUsed/>
    <w:rsid w:val="00E245EF"/>
    <w:pPr>
      <w:tabs>
        <w:tab w:val="center" w:pos="4680"/>
        <w:tab w:val="right" w:pos="9360"/>
      </w:tabs>
    </w:pPr>
  </w:style>
  <w:style w:type="character" w:customStyle="1" w:styleId="HeaderChar">
    <w:name w:val="Header Char"/>
    <w:basedOn w:val="DefaultParagraphFont"/>
    <w:link w:val="Header"/>
    <w:uiPriority w:val="99"/>
    <w:rsid w:val="00E245EF"/>
    <w:rPr>
      <w:rFonts w:eastAsiaTheme="minorEastAsia"/>
    </w:rPr>
  </w:style>
  <w:style w:type="paragraph" w:styleId="Footer">
    <w:name w:val="footer"/>
    <w:basedOn w:val="Normal"/>
    <w:link w:val="FooterChar"/>
    <w:uiPriority w:val="99"/>
    <w:unhideWhenUsed/>
    <w:rsid w:val="00E245EF"/>
    <w:pPr>
      <w:tabs>
        <w:tab w:val="center" w:pos="4680"/>
        <w:tab w:val="right" w:pos="9360"/>
      </w:tabs>
    </w:pPr>
  </w:style>
  <w:style w:type="character" w:customStyle="1" w:styleId="FooterChar">
    <w:name w:val="Footer Char"/>
    <w:basedOn w:val="DefaultParagraphFont"/>
    <w:link w:val="Footer"/>
    <w:uiPriority w:val="99"/>
    <w:rsid w:val="00E245EF"/>
    <w:rPr>
      <w:rFonts w:eastAsiaTheme="minorEastAsia"/>
    </w:rPr>
  </w:style>
  <w:style w:type="table" w:styleId="TableGrid">
    <w:name w:val="Table Grid"/>
    <w:basedOn w:val="TableNormal"/>
    <w:uiPriority w:val="39"/>
    <w:rsid w:val="00EE4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E49C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E49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unhideWhenUsed/>
    <w:rsid w:val="001256A1"/>
    <w:pPr>
      <w:suppressAutoHyphens/>
      <w:spacing w:line="180" w:lineRule="exact"/>
      <w:ind w:left="57" w:right="0" w:hanging="57"/>
    </w:pPr>
    <w:rPr>
      <w:rFonts w:cs="Times New Roman (Body CS)"/>
      <w:sz w:val="15"/>
    </w:rPr>
  </w:style>
  <w:style w:type="paragraph" w:customStyle="1" w:styleId="SectionHeader">
    <w:name w:val="Section Header"/>
    <w:basedOn w:val="Normal"/>
    <w:qFormat/>
    <w:rsid w:val="00AB17DF"/>
    <w:rPr>
      <w:b/>
      <w:bCs/>
      <w:color w:val="008D61" w:themeColor="accent2"/>
    </w:rPr>
  </w:style>
  <w:style w:type="paragraph" w:customStyle="1" w:styleId="Subhead">
    <w:name w:val="Sub head"/>
    <w:basedOn w:val="Normal"/>
    <w:qFormat/>
    <w:rsid w:val="00AB17DF"/>
    <w:rPr>
      <w:color w:val="008D61" w:themeColor="accent2"/>
    </w:rPr>
  </w:style>
  <w:style w:type="paragraph" w:customStyle="1" w:styleId="Largecallout">
    <w:name w:val="Large callout"/>
    <w:basedOn w:val="Normal"/>
    <w:qFormat/>
    <w:rsid w:val="00580E4A"/>
    <w:pPr>
      <w:spacing w:before="360" w:after="360" w:line="400" w:lineRule="exact"/>
      <w:ind w:left="227" w:right="680"/>
    </w:pPr>
    <w:rPr>
      <w:b/>
      <w:color w:val="008D61" w:themeColor="accent2"/>
      <w:sz w:val="32"/>
      <w:szCs w:val="32"/>
    </w:rPr>
  </w:style>
  <w:style w:type="paragraph" w:customStyle="1" w:styleId="Bodyparagraph">
    <w:name w:val="Body paragraph"/>
    <w:basedOn w:val="Normal"/>
    <w:autoRedefine/>
    <w:qFormat/>
    <w:rsid w:val="00F214E2"/>
    <w:pPr>
      <w:spacing w:after="140"/>
      <w:ind w:left="270" w:right="-6" w:hanging="360"/>
    </w:pPr>
    <w:rPr>
      <w:rFonts w:cs="Times New Roman (Body CS)"/>
      <w:color w:val="262626" w:themeColor="text1" w:themeTint="D9"/>
    </w:rPr>
  </w:style>
  <w:style w:type="character" w:customStyle="1" w:styleId="EndnoteTextChar">
    <w:name w:val="Endnote Text Char"/>
    <w:basedOn w:val="DefaultParagraphFont"/>
    <w:link w:val="EndnoteText"/>
    <w:uiPriority w:val="99"/>
    <w:rsid w:val="001256A1"/>
    <w:rPr>
      <w:rFonts w:eastAsiaTheme="minorEastAsia" w:cs="Times New Roman (Body CS)"/>
      <w:sz w:val="15"/>
      <w:szCs w:val="20"/>
    </w:rPr>
  </w:style>
  <w:style w:type="character" w:styleId="EndnoteReference">
    <w:name w:val="endnote reference"/>
    <w:basedOn w:val="DefaultParagraphFont"/>
    <w:uiPriority w:val="99"/>
    <w:semiHidden/>
    <w:unhideWhenUsed/>
    <w:rsid w:val="00B248BF"/>
    <w:rPr>
      <w:vertAlign w:val="superscript"/>
    </w:rPr>
  </w:style>
  <w:style w:type="paragraph" w:styleId="BalloonText">
    <w:name w:val="Balloon Text"/>
    <w:basedOn w:val="Normal"/>
    <w:link w:val="BalloonTextChar"/>
    <w:uiPriority w:val="99"/>
    <w:semiHidden/>
    <w:unhideWhenUsed/>
    <w:rsid w:val="00094D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4D31"/>
    <w:rPr>
      <w:rFonts w:ascii="Times New Roman" w:eastAsiaTheme="minorEastAsia" w:hAnsi="Times New Roman" w:cs="Times New Roman"/>
      <w:sz w:val="18"/>
      <w:szCs w:val="18"/>
    </w:rPr>
  </w:style>
  <w:style w:type="character" w:customStyle="1" w:styleId="FootnoteTextChar">
    <w:name w:val="Footnote Text Char"/>
    <w:basedOn w:val="DefaultParagraphFont"/>
    <w:link w:val="FootnoteText"/>
    <w:uiPriority w:val="99"/>
    <w:semiHidden/>
    <w:rsid w:val="003C2194"/>
    <w:rPr>
      <w:rFonts w:eastAsiaTheme="minorEastAsia"/>
      <w:sz w:val="20"/>
      <w:szCs w:val="20"/>
    </w:rPr>
  </w:style>
  <w:style w:type="character" w:styleId="FootnoteReference">
    <w:name w:val="footnote reference"/>
    <w:basedOn w:val="DefaultParagraphFont"/>
    <w:uiPriority w:val="99"/>
    <w:semiHidden/>
    <w:unhideWhenUsed/>
    <w:rsid w:val="003C2194"/>
    <w:rPr>
      <w:vertAlign w:val="superscript"/>
    </w:rPr>
  </w:style>
  <w:style w:type="table" w:customStyle="1" w:styleId="TableGrid1">
    <w:name w:val="Table Grid1"/>
    <w:basedOn w:val="TableNormal"/>
    <w:next w:val="TableGrid"/>
    <w:uiPriority w:val="39"/>
    <w:rsid w:val="002A0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2C5E"/>
    <w:rPr>
      <w:rFonts w:eastAsiaTheme="minorEastAsia"/>
      <w:sz w:val="20"/>
      <w:szCs w:val="20"/>
    </w:rPr>
  </w:style>
  <w:style w:type="paragraph" w:styleId="NoSpacing">
    <w:name w:val="No Spacing"/>
    <w:link w:val="NoSpacingChar"/>
    <w:uiPriority w:val="1"/>
    <w:qFormat/>
    <w:rsid w:val="00595F39"/>
    <w:pPr>
      <w:ind w:right="590"/>
    </w:pPr>
    <w:rPr>
      <w:rFonts w:eastAsiaTheme="minorEastAsia"/>
      <w:sz w:val="20"/>
      <w:szCs w:val="20"/>
    </w:rPr>
  </w:style>
  <w:style w:type="character" w:customStyle="1" w:styleId="NoSpacingChar">
    <w:name w:val="No Spacing Char"/>
    <w:basedOn w:val="DefaultParagraphFont"/>
    <w:link w:val="NoSpacing"/>
    <w:uiPriority w:val="1"/>
    <w:rsid w:val="0059188A"/>
    <w:rPr>
      <w:rFonts w:eastAsiaTheme="minorEastAsia"/>
      <w:sz w:val="20"/>
      <w:szCs w:val="20"/>
    </w:rPr>
  </w:style>
  <w:style w:type="character" w:styleId="PageNumber">
    <w:name w:val="page number"/>
    <w:basedOn w:val="DefaultParagraphFont"/>
    <w:uiPriority w:val="99"/>
    <w:semiHidden/>
    <w:unhideWhenUsed/>
    <w:rsid w:val="004F080F"/>
  </w:style>
  <w:style w:type="paragraph" w:customStyle="1" w:styleId="Level1bullet">
    <w:name w:val="Level 1 bullet"/>
    <w:basedOn w:val="Normal"/>
    <w:autoRedefine/>
    <w:qFormat/>
    <w:rsid w:val="00580E4A"/>
    <w:pPr>
      <w:numPr>
        <w:ilvl w:val="1"/>
        <w:numId w:val="7"/>
      </w:numPr>
      <w:ind w:left="170" w:right="0" w:hanging="170"/>
    </w:pPr>
  </w:style>
  <w:style w:type="paragraph" w:styleId="Caption">
    <w:name w:val="caption"/>
    <w:basedOn w:val="Normal"/>
    <w:next w:val="Normal"/>
    <w:uiPriority w:val="35"/>
    <w:unhideWhenUsed/>
    <w:qFormat/>
    <w:rsid w:val="008B1629"/>
    <w:pPr>
      <w:spacing w:after="200" w:line="240" w:lineRule="auto"/>
    </w:pPr>
    <w:rPr>
      <w:i/>
      <w:iCs/>
      <w:color w:val="000000" w:themeColor="text2"/>
      <w:sz w:val="18"/>
      <w:szCs w:val="18"/>
    </w:rPr>
  </w:style>
  <w:style w:type="character" w:styleId="CommentReference">
    <w:name w:val="annotation reference"/>
    <w:basedOn w:val="DefaultParagraphFont"/>
    <w:uiPriority w:val="99"/>
    <w:semiHidden/>
    <w:unhideWhenUsed/>
    <w:rsid w:val="004E4DAB"/>
    <w:rPr>
      <w:sz w:val="16"/>
      <w:szCs w:val="16"/>
    </w:rPr>
  </w:style>
  <w:style w:type="paragraph" w:styleId="CommentText">
    <w:name w:val="annotation text"/>
    <w:basedOn w:val="Normal"/>
    <w:link w:val="CommentTextChar"/>
    <w:uiPriority w:val="99"/>
    <w:unhideWhenUsed/>
    <w:rsid w:val="004E4DAB"/>
    <w:pPr>
      <w:spacing w:after="160" w:line="240" w:lineRule="auto"/>
      <w:ind w:right="0"/>
    </w:pPr>
    <w:rPr>
      <w:rFonts w:eastAsiaTheme="minorHAnsi"/>
      <w:kern w:val="2"/>
      <w14:ligatures w14:val="standardContextual"/>
    </w:rPr>
  </w:style>
  <w:style w:type="character" w:customStyle="1" w:styleId="CommentTextChar">
    <w:name w:val="Comment Text Char"/>
    <w:basedOn w:val="DefaultParagraphFont"/>
    <w:link w:val="CommentText"/>
    <w:uiPriority w:val="99"/>
    <w:rsid w:val="004E4DAB"/>
    <w:rPr>
      <w:kern w:val="2"/>
      <w:sz w:val="20"/>
      <w:szCs w:val="20"/>
      <w14:ligatures w14:val="standardContextual"/>
    </w:rPr>
  </w:style>
  <w:style w:type="character" w:styleId="Hyperlink">
    <w:name w:val="Hyperlink"/>
    <w:basedOn w:val="DefaultParagraphFont"/>
    <w:uiPriority w:val="99"/>
    <w:unhideWhenUsed/>
    <w:rsid w:val="004E4DAB"/>
    <w:rPr>
      <w:color w:val="00A99D" w:themeColor="hyperlink"/>
      <w:u w:val="single"/>
    </w:rPr>
  </w:style>
  <w:style w:type="character" w:styleId="UnresolvedMention">
    <w:name w:val="Unresolved Mention"/>
    <w:basedOn w:val="DefaultParagraphFont"/>
    <w:uiPriority w:val="99"/>
    <w:rsid w:val="004E4D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2ECB"/>
    <w:pPr>
      <w:spacing w:after="120"/>
      <w:ind w:right="590"/>
    </w:pPr>
    <w:rPr>
      <w:rFonts w:eastAsiaTheme="minorEastAsia"/>
      <w:b/>
      <w:bCs/>
      <w:kern w:val="0"/>
      <w14:ligatures w14:val="none"/>
    </w:rPr>
  </w:style>
  <w:style w:type="character" w:customStyle="1" w:styleId="CommentSubjectChar">
    <w:name w:val="Comment Subject Char"/>
    <w:basedOn w:val="CommentTextChar"/>
    <w:link w:val="CommentSubject"/>
    <w:uiPriority w:val="99"/>
    <w:semiHidden/>
    <w:rsid w:val="00752ECB"/>
    <w:rPr>
      <w:rFonts w:eastAsiaTheme="minorEastAsia"/>
      <w:b/>
      <w:bCs/>
      <w:kern w:val="2"/>
      <w:sz w:val="20"/>
      <w:szCs w:val="20"/>
      <w14:ligatures w14:val="standardContextual"/>
    </w:rPr>
  </w:style>
  <w:style w:type="character" w:styleId="FollowedHyperlink">
    <w:name w:val="FollowedHyperlink"/>
    <w:basedOn w:val="DefaultParagraphFont"/>
    <w:uiPriority w:val="99"/>
    <w:semiHidden/>
    <w:unhideWhenUsed/>
    <w:rsid w:val="00F4605F"/>
    <w:rPr>
      <w:color w:val="1C5C5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9189">
      <w:bodyDiv w:val="1"/>
      <w:marLeft w:val="0"/>
      <w:marRight w:val="0"/>
      <w:marTop w:val="0"/>
      <w:marBottom w:val="0"/>
      <w:divBdr>
        <w:top w:val="none" w:sz="0" w:space="0" w:color="auto"/>
        <w:left w:val="none" w:sz="0" w:space="0" w:color="auto"/>
        <w:bottom w:val="none" w:sz="0" w:space="0" w:color="auto"/>
        <w:right w:val="none" w:sz="0" w:space="0" w:color="auto"/>
      </w:divBdr>
    </w:div>
    <w:div w:id="223415194">
      <w:bodyDiv w:val="1"/>
      <w:marLeft w:val="0"/>
      <w:marRight w:val="0"/>
      <w:marTop w:val="0"/>
      <w:marBottom w:val="0"/>
      <w:divBdr>
        <w:top w:val="none" w:sz="0" w:space="0" w:color="auto"/>
        <w:left w:val="none" w:sz="0" w:space="0" w:color="auto"/>
        <w:bottom w:val="none" w:sz="0" w:space="0" w:color="auto"/>
        <w:right w:val="none" w:sz="0" w:space="0" w:color="auto"/>
      </w:divBdr>
    </w:div>
    <w:div w:id="486291285">
      <w:bodyDiv w:val="1"/>
      <w:marLeft w:val="0"/>
      <w:marRight w:val="0"/>
      <w:marTop w:val="0"/>
      <w:marBottom w:val="0"/>
      <w:divBdr>
        <w:top w:val="none" w:sz="0" w:space="0" w:color="auto"/>
        <w:left w:val="none" w:sz="0" w:space="0" w:color="auto"/>
        <w:bottom w:val="none" w:sz="0" w:space="0" w:color="auto"/>
        <w:right w:val="none" w:sz="0" w:space="0" w:color="auto"/>
      </w:divBdr>
    </w:div>
    <w:div w:id="515114729">
      <w:bodyDiv w:val="1"/>
      <w:marLeft w:val="0"/>
      <w:marRight w:val="0"/>
      <w:marTop w:val="0"/>
      <w:marBottom w:val="0"/>
      <w:divBdr>
        <w:top w:val="none" w:sz="0" w:space="0" w:color="auto"/>
        <w:left w:val="none" w:sz="0" w:space="0" w:color="auto"/>
        <w:bottom w:val="none" w:sz="0" w:space="0" w:color="auto"/>
        <w:right w:val="none" w:sz="0" w:space="0" w:color="auto"/>
      </w:divBdr>
    </w:div>
    <w:div w:id="672344159">
      <w:bodyDiv w:val="1"/>
      <w:marLeft w:val="0"/>
      <w:marRight w:val="0"/>
      <w:marTop w:val="0"/>
      <w:marBottom w:val="0"/>
      <w:divBdr>
        <w:top w:val="none" w:sz="0" w:space="0" w:color="auto"/>
        <w:left w:val="none" w:sz="0" w:space="0" w:color="auto"/>
        <w:bottom w:val="none" w:sz="0" w:space="0" w:color="auto"/>
        <w:right w:val="none" w:sz="0" w:space="0" w:color="auto"/>
      </w:divBdr>
    </w:div>
    <w:div w:id="1016804301">
      <w:bodyDiv w:val="1"/>
      <w:marLeft w:val="0"/>
      <w:marRight w:val="0"/>
      <w:marTop w:val="0"/>
      <w:marBottom w:val="0"/>
      <w:divBdr>
        <w:top w:val="none" w:sz="0" w:space="0" w:color="auto"/>
        <w:left w:val="none" w:sz="0" w:space="0" w:color="auto"/>
        <w:bottom w:val="none" w:sz="0" w:space="0" w:color="auto"/>
        <w:right w:val="none" w:sz="0" w:space="0" w:color="auto"/>
      </w:divBdr>
    </w:div>
    <w:div w:id="1060640740">
      <w:bodyDiv w:val="1"/>
      <w:marLeft w:val="0"/>
      <w:marRight w:val="0"/>
      <w:marTop w:val="0"/>
      <w:marBottom w:val="0"/>
      <w:divBdr>
        <w:top w:val="none" w:sz="0" w:space="0" w:color="auto"/>
        <w:left w:val="none" w:sz="0" w:space="0" w:color="auto"/>
        <w:bottom w:val="none" w:sz="0" w:space="0" w:color="auto"/>
        <w:right w:val="none" w:sz="0" w:space="0" w:color="auto"/>
      </w:divBdr>
    </w:div>
    <w:div w:id="1302727736">
      <w:bodyDiv w:val="1"/>
      <w:marLeft w:val="0"/>
      <w:marRight w:val="0"/>
      <w:marTop w:val="0"/>
      <w:marBottom w:val="0"/>
      <w:divBdr>
        <w:top w:val="none" w:sz="0" w:space="0" w:color="auto"/>
        <w:left w:val="none" w:sz="0" w:space="0" w:color="auto"/>
        <w:bottom w:val="none" w:sz="0" w:space="0" w:color="auto"/>
        <w:right w:val="none" w:sz="0" w:space="0" w:color="auto"/>
      </w:divBdr>
    </w:div>
    <w:div w:id="1390494507">
      <w:bodyDiv w:val="1"/>
      <w:marLeft w:val="0"/>
      <w:marRight w:val="0"/>
      <w:marTop w:val="0"/>
      <w:marBottom w:val="0"/>
      <w:divBdr>
        <w:top w:val="none" w:sz="0" w:space="0" w:color="auto"/>
        <w:left w:val="none" w:sz="0" w:space="0" w:color="auto"/>
        <w:bottom w:val="none" w:sz="0" w:space="0" w:color="auto"/>
        <w:right w:val="none" w:sz="0" w:space="0" w:color="auto"/>
      </w:divBdr>
    </w:div>
    <w:div w:id="15207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ach.terumo-bct.com/sign-up-for-white-pap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ach.terumo-bct.com/sign-up-for-white-paper"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alliancerm.org/publication/2018-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vedasolutions@terumobct.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ausb\Downloads\T-BCT-WP-Two%20Column-A4-0622.dotx" TargetMode="External"/></Relationships>
</file>

<file path=word/theme/theme1.xml><?xml version="1.0" encoding="utf-8"?>
<a:theme xmlns:a="http://schemas.openxmlformats.org/drawingml/2006/main" name="T-BCT2020-v3">
  <a:themeElements>
    <a:clrScheme name="T-BCT2020-v3">
      <a:dk1>
        <a:srgbClr val="000000"/>
      </a:dk1>
      <a:lt1>
        <a:srgbClr val="FFFFFF"/>
      </a:lt1>
      <a:dk2>
        <a:srgbClr val="000000"/>
      </a:dk2>
      <a:lt2>
        <a:srgbClr val="E6E6E6"/>
      </a:lt2>
      <a:accent1>
        <a:srgbClr val="B3B3B3"/>
      </a:accent1>
      <a:accent2>
        <a:srgbClr val="008D61"/>
      </a:accent2>
      <a:accent3>
        <a:srgbClr val="E55D71"/>
      </a:accent3>
      <a:accent4>
        <a:srgbClr val="EC662A"/>
      </a:accent4>
      <a:accent5>
        <a:srgbClr val="447EBC"/>
      </a:accent5>
      <a:accent6>
        <a:srgbClr val="F28F00"/>
      </a:accent6>
      <a:hlink>
        <a:srgbClr val="00A99D"/>
      </a:hlink>
      <a:folHlink>
        <a:srgbClr val="1C5C5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BCT2020-v3" id="{03A483DB-AC26-7A45-B7AC-E1137DB3393D}" vid="{FA9A5E4C-A0FE-2749-BDEA-B10AD569D9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d59979-7500-4d0d-9ccf-53f18251aa85" xsi:nil="true"/>
    <lcf76f155ced4ddcb4097134ff3c332f xmlns="f35e54c9-98db-4166-a602-91b59a00fdf0">
      <Terms xmlns="http://schemas.microsoft.com/office/infopath/2007/PartnerControls"/>
    </lcf76f155ced4ddcb4097134ff3c332f>
    <Preview xmlns="f35e54c9-98db-4166-a602-91b59a00fdf0" xsi:nil="true"/>
    <Thumbnail xmlns="f35e54c9-98db-4166-a602-91b59a00fdf0" xsi:nil="true"/>
    <hyperlink xmlns="f35e54c9-98db-4166-a602-91b59a00fdf0">
      <Url xsi:nil="true"/>
      <Description xsi:nil="true"/>
    </hyper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35BE309A9E144C86AB2E82C7E6618C" ma:contentTypeVersion="21" ma:contentTypeDescription="Create a new document." ma:contentTypeScope="" ma:versionID="f45657da8bf28bed89cbef41d9ca0f56">
  <xsd:schema xmlns:xsd="http://www.w3.org/2001/XMLSchema" xmlns:xs="http://www.w3.org/2001/XMLSchema" xmlns:p="http://schemas.microsoft.com/office/2006/metadata/properties" xmlns:ns2="25d59979-7500-4d0d-9ccf-53f18251aa85" xmlns:ns3="f35e54c9-98db-4166-a602-91b59a00fdf0" targetNamespace="http://schemas.microsoft.com/office/2006/metadata/properties" ma:root="true" ma:fieldsID="a217eab9604c78ea0469ea77261ddd9e" ns2:_="" ns3:_="">
    <xsd:import namespace="25d59979-7500-4d0d-9ccf-53f18251aa85"/>
    <xsd:import namespace="f35e54c9-98db-4166-a602-91b59a00fd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hyperlink" minOccurs="0"/>
                <xsd:element ref="ns3:lcf76f155ced4ddcb4097134ff3c332f" minOccurs="0"/>
                <xsd:element ref="ns2:TaxCatchAll" minOccurs="0"/>
                <xsd:element ref="ns3:Preview" minOccurs="0"/>
                <xsd:element ref="ns3:Thumbnai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59979-7500-4d0d-9ccf-53f18251aa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c5678b-bc9c-4cf2-bf33-72a572c0ee01}" ma:internalName="TaxCatchAll" ma:showField="CatchAllData" ma:web="25d59979-7500-4d0d-9ccf-53f18251aa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5e54c9-98db-4166-a602-91b59a00fd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hyperlink" ma:index="21"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1b47e6c-fd47-4b0f-8db2-785a9e5607bd" ma:termSetId="09814cd3-568e-fe90-9814-8d621ff8fb84" ma:anchorId="fba54fb3-c3e1-fe81-a776-ca4b69148c4d" ma:open="true" ma:isKeyword="false">
      <xsd:complexType>
        <xsd:sequence>
          <xsd:element ref="pc:Terms" minOccurs="0" maxOccurs="1"/>
        </xsd:sequence>
      </xsd:complexType>
    </xsd:element>
    <xsd:element name="Preview" ma:index="25" nillable="true" ma:displayName="Preview" ma:format="Thumbnail" ma:internalName="Preview">
      <xsd:simpleType>
        <xsd:restriction base="dms:Unknown"/>
      </xsd:simpleType>
    </xsd:element>
    <xsd:element name="Thumbnail" ma:index="26" nillable="true" ma:displayName="Thumbnail" ma:format="Thumbnail" ma:internalName="Thumbnail">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AD0DD-0DCC-5F4A-A5DE-56C3E660F8CD}">
  <ds:schemaRefs>
    <ds:schemaRef ds:uri="http://schemas.openxmlformats.org/officeDocument/2006/bibliography"/>
  </ds:schemaRefs>
</ds:datastoreItem>
</file>

<file path=customXml/itemProps2.xml><?xml version="1.0" encoding="utf-8"?>
<ds:datastoreItem xmlns:ds="http://schemas.openxmlformats.org/officeDocument/2006/customXml" ds:itemID="{FC452210-0F0F-402C-A789-C7ABB42843C8}">
  <ds:schemaRefs>
    <ds:schemaRef ds:uri="http://schemas.microsoft.com/sharepoint/v3/contenttype/forms"/>
  </ds:schemaRefs>
</ds:datastoreItem>
</file>

<file path=customXml/itemProps3.xml><?xml version="1.0" encoding="utf-8"?>
<ds:datastoreItem xmlns:ds="http://schemas.openxmlformats.org/officeDocument/2006/customXml" ds:itemID="{484E0E24-798A-46A0-AED9-011E68193B92}">
  <ds:schemaRefs>
    <ds:schemaRef ds:uri="http://schemas.microsoft.com/office/2006/metadata/properties"/>
    <ds:schemaRef ds:uri="http://schemas.microsoft.com/office/infopath/2007/PartnerControls"/>
    <ds:schemaRef ds:uri="25d59979-7500-4d0d-9ccf-53f18251aa85"/>
    <ds:schemaRef ds:uri="f35e54c9-98db-4166-a602-91b59a00fdf0"/>
  </ds:schemaRefs>
</ds:datastoreItem>
</file>

<file path=customXml/itemProps4.xml><?xml version="1.0" encoding="utf-8"?>
<ds:datastoreItem xmlns:ds="http://schemas.openxmlformats.org/officeDocument/2006/customXml" ds:itemID="{ACD07689-9B9A-49D3-BDE9-4B066188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59979-7500-4d0d-9ccf-53f18251aa85"/>
    <ds:schemaRef ds:uri="f35e54c9-98db-4166-a602-91b59a00f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T-BCT-WP-Two Column-A4-0622</Template>
  <TotalTime>10</TotalTime>
  <Pages>6</Pages>
  <Words>2005</Words>
  <Characters>12088</Characters>
  <Application>Microsoft Office Word</Application>
  <DocSecurity>0</DocSecurity>
  <Lines>100</Lines>
  <Paragraphs>28</Paragraphs>
  <ScaleCrop>false</ScaleCrop>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Rachel</dc:creator>
  <cp:keywords/>
  <dc:description/>
  <cp:lastModifiedBy>Mann, Joshua</cp:lastModifiedBy>
  <cp:revision>4</cp:revision>
  <cp:lastPrinted>2020-06-15T18:38:00Z</cp:lastPrinted>
  <dcterms:created xsi:type="dcterms:W3CDTF">2023-10-23T21:30:00Z</dcterms:created>
  <dcterms:modified xsi:type="dcterms:W3CDTF">2024-02-14T21:28:00Z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0x010100F335BE309A9E144C86AB2E82C7E6618C</vt:lpwstr>
  </property>
  <property fmtid="{D5CDD505-2E9C-101B-9397-08002B2CF9AE}" pid="3" name="GrammarlyDocumentId">
    <vt:lpwstr>053bbcf1-3fa1-441a-844f-1e1827abd6fe</vt:lpwstr>
  </property>
  <property fmtid="{D5CDD505-2E9C-101B-9397-08002B2CF9AE}" pid="4" name="MediaServiceImageTags">
    <vt:lpwstr/>
  </property>
</Properties>
</file>